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jc w:val="left"/>
      </w:pPr>
      <w:r>
        <w:drawing>
          <wp:inline xmlns:a="http://schemas.openxmlformats.org/drawingml/2006/main" xmlns:pic="http://schemas.openxmlformats.org/drawingml/2006/picture">
            <wp:extent cx="1620000" cy="575576"/>
            <wp:docPr id="1" name="Picture 1"/>
            <wp:cNvGraphicFramePr>
              <a:graphicFrameLocks noChangeAspect="1"/>
            </wp:cNvGraphicFramePr>
            <a:graphic>
              <a:graphicData uri="http://schemas.openxmlformats.org/drawingml/2006/picture">
                <pic:pic>
                  <pic:nvPicPr>
                    <pic:cNvPr id="0" name="image.png"/>
                    <pic:cNvPicPr/>
                  </pic:nvPicPr>
                  <pic:blipFill>
                    <a:blip r:embed="rId11"/>
                    <a:stretch>
                      <a:fillRect/>
                    </a:stretch>
                  </pic:blipFill>
                  <pic:spPr>
                    <a:xfrm>
                      <a:off x="0" y="0"/>
                      <a:ext cx="1620000" cy="575576"/>
                    </a:xfrm>
                    <a:prstGeom prst="rect"/>
                  </pic:spPr>
                </pic:pic>
              </a:graphicData>
            </a:graphic>
          </wp:inline>
        </w:drawing>
      </w:r>
    </w:p>
    <w:p/>
    <w:p>
      <w:pPr>
        <w:spacing w:after="40"/>
      </w:pPr>
      <w:r>
        <w:rPr>
          <w:rFonts w:ascii="Calibri" w:hAnsi="Calibri"/>
          <w:b/>
          <w:i w:val="0"/>
          <w:color w:val="A6192E"/>
          <w:sz w:val="52"/>
        </w:rPr>
        <w:t>Eugene Platform — Consolidated Programme Briefing</w:t>
      </w:r>
    </w:p>
    <w:p>
      <w:r>
        <w:rPr>
          <w:rFonts w:ascii="Calibri" w:hAnsi="Calibri"/>
          <w:b w:val="0"/>
          <w:i w:val="0"/>
          <w:color w:val="1B3A6B"/>
          <w:sz w:val="28"/>
        </w:rPr>
        <w:t>Overview, Scope, Current-State Architecture, Gaps and Technical Recommendations</w:t>
      </w:r>
    </w:p>
    <w:p/>
    <w:p>
      <w:pPr>
        <w:spacing w:after="40"/>
      </w:pPr>
      <w:r>
        <w:rPr>
          <w:rFonts w:ascii="Calibri" w:hAnsi="Calibri"/>
          <w:b/>
          <w:i w:val="0"/>
          <w:color w:val="1B3A6B"/>
          <w:sz w:val="21"/>
        </w:rPr>
        <w:t xml:space="preserve">Prepared for: </w:t>
      </w:r>
      <w:r>
        <w:rPr>
          <w:rFonts w:ascii="Calibri" w:hAnsi="Calibri"/>
          <w:b w:val="0"/>
          <w:i w:val="0"/>
          <w:color w:val="000000"/>
          <w:sz w:val="21"/>
        </w:rPr>
        <w:t>CSL Behring — Business Development &amp; R&amp;D Stakeholders</w:t>
      </w:r>
    </w:p>
    <w:p>
      <w:pPr>
        <w:spacing w:after="40"/>
      </w:pPr>
      <w:r>
        <w:rPr>
          <w:rFonts w:ascii="Calibri" w:hAnsi="Calibri"/>
          <w:b/>
          <w:i w:val="0"/>
          <w:color w:val="1B3A6B"/>
          <w:sz w:val="21"/>
        </w:rPr>
        <w:t xml:space="preserve">Programme: </w:t>
      </w:r>
      <w:r>
        <w:rPr>
          <w:rFonts w:ascii="Calibri" w:hAnsi="Calibri"/>
          <w:b w:val="0"/>
          <w:i w:val="0"/>
          <w:color w:val="000000"/>
          <w:sz w:val="21"/>
        </w:rPr>
        <w:t>Eugene Knowledge Graph &amp; Agentic AI Platform</w:t>
      </w:r>
    </w:p>
    <w:p>
      <w:pPr>
        <w:spacing w:after="40"/>
      </w:pPr>
      <w:r>
        <w:rPr>
          <w:rFonts w:ascii="Calibri" w:hAnsi="Calibri"/>
          <w:b/>
          <w:i w:val="0"/>
          <w:color w:val="1B3A6B"/>
          <w:sz w:val="21"/>
        </w:rPr>
        <w:t xml:space="preserve">Date: </w:t>
      </w:r>
      <w:r>
        <w:rPr>
          <w:rFonts w:ascii="Calibri" w:hAnsi="Calibri"/>
          <w:b w:val="0"/>
          <w:i w:val="0"/>
          <w:color w:val="000000"/>
          <w:sz w:val="21"/>
        </w:rPr>
        <w:t>May 2, 2026</w:t>
      </w:r>
    </w:p>
    <w:p>
      <w:pPr>
        <w:spacing w:after="40"/>
      </w:pPr>
      <w:r>
        <w:rPr>
          <w:rFonts w:ascii="Calibri" w:hAnsi="Calibri"/>
          <w:b/>
          <w:i w:val="0"/>
          <w:color w:val="1B3A6B"/>
          <w:sz w:val="21"/>
        </w:rPr>
        <w:t xml:space="preserve">Classification: </w:t>
      </w:r>
      <w:r>
        <w:rPr>
          <w:rFonts w:ascii="Calibri" w:hAnsi="Calibri"/>
          <w:b w:val="0"/>
          <w:i w:val="0"/>
          <w:color w:val="000000"/>
          <w:sz w:val="21"/>
        </w:rPr>
        <w:t>Confidential — Internal Use Only</w:t>
      </w:r>
    </w:p>
    <w:p>
      <w:pPr>
        <w:spacing w:after="40"/>
      </w:pPr>
      <w:r>
        <w:rPr>
          <w:rFonts w:ascii="Calibri" w:hAnsi="Calibri"/>
          <w:b/>
          <w:i w:val="0"/>
          <w:color w:val="1B3A6B"/>
          <w:sz w:val="21"/>
        </w:rPr>
        <w:t xml:space="preserve">Version: </w:t>
      </w:r>
      <w:r>
        <w:rPr>
          <w:rFonts w:ascii="Calibri" w:hAnsi="Calibri"/>
          <w:b w:val="0"/>
          <w:i w:val="0"/>
          <w:color w:val="000000"/>
          <w:sz w:val="21"/>
        </w:rPr>
        <w:t>2.0  (Book Edition)</w:t>
      </w:r>
    </w:p>
    <w:p/>
    <w:p>
      <w:r>
        <w:rPr>
          <w:rFonts w:ascii="Calibri" w:hAnsi="Calibri"/>
          <w:b w:val="0"/>
          <w:i/>
          <w:color w:val="424242"/>
          <w:sz w:val="18"/>
        </w:rPr>
        <w:t>This document is a synthesised, book-format evaluation distilled from the Eugene Project Validation Document, the Stage 1 Assessment &amp; Audit Report, the Developer Guide, and the canonical architecture diagram.</w:t>
      </w:r>
    </w:p>
    <w:p>
      <w:r>
        <w:br w:type="page"/>
      </w:r>
    </w:p>
    <w:p>
      <w:pPr>
        <w:spacing w:before="280" w:after="160"/>
        <w:outlineLvl w:val="1"/>
      </w:pPr>
      <w:r>
        <w:rPr>
          <w:rFonts w:ascii="Calibri" w:hAnsi="Calibri"/>
          <w:b/>
          <w:i w:val="0"/>
          <w:color w:val="1B3A6B"/>
          <w:sz w:val="34"/>
        </w:rPr>
        <w:t>Table of Contents</w:t>
      </w:r>
    </w:p>
    <w:p>
      <w:r>
        <w:fldChar w:fldCharType="begin"/>
        <w:instrText xml:space="preserve">TOC \o "1-3" \h \z \u</w:instrText>
        <w:fldChar w:fldCharType="separate"/>
        <w:t>Right-click and choose 'Update Field' to populate the table of contents.</w:t>
        <w:fldChar w:fldCharType="end"/>
      </w:r>
    </w:p>
    <w:p>
      <w:r>
        <w:br w:type="page"/>
      </w:r>
    </w:p>
    <w:p>
      <w:r>
        <w:br w:type="page"/>
      </w:r>
    </w:p>
    <w:p>
      <w:pPr>
        <w:spacing w:before="360" w:after="240"/>
        <w:outlineLvl w:val="0"/>
      </w:pPr>
      <w:r>
        <w:rPr>
          <w:rFonts w:ascii="Calibri" w:hAnsi="Calibri"/>
          <w:b/>
          <w:i w:val="0"/>
          <w:color w:val="A6192E"/>
          <w:sz w:val="48"/>
        </w:rPr>
        <w:t>Front Matter</w:t>
      </w:r>
    </w:p>
    <w:p>
      <w:r>
        <w:br w:type="page"/>
      </w:r>
    </w:p>
    <w:p>
      <w:pPr>
        <w:spacing w:before="280" w:after="160"/>
        <w:outlineLvl w:val="1"/>
      </w:pPr>
      <w:r>
        <w:rPr>
          <w:rFonts w:ascii="Calibri" w:hAnsi="Calibri"/>
          <w:b/>
          <w:i w:val="0"/>
          <w:color w:val="1B3A6B"/>
          <w:sz w:val="34"/>
        </w:rPr>
        <w:t>About This Document</w:t>
      </w:r>
    </w:p>
    <w:p>
      <w:pPr>
        <w:spacing w:after="120"/>
        <w:jc w:val="both"/>
      </w:pPr>
      <w:r>
        <w:rPr>
          <w:rFonts w:ascii="Calibri" w:hAnsi="Calibri"/>
          <w:b w:val="0"/>
          <w:i w:val="0"/>
          <w:color w:val="000000"/>
          <w:sz w:val="21"/>
        </w:rPr>
        <w:t>This briefing is the single, consolidated reference for the Eugene biomedical knowledge graph and agentic AI programme at CSL Behring. It is intended for client and stakeholder presentations and replaces the need to navigate between the Project Validation Document, the Stage 1 Assessment &amp; Audit Report, the Developer Guide, and the next-generation architecture proposal. The five sections that follow tell a complete technical story: what Eugene is, what it does today, how it is built, where the gaps are, and what we recommend doing about them.</w:t>
      </w:r>
    </w:p>
    <w:p>
      <w:pPr>
        <w:spacing w:after="120"/>
        <w:jc w:val="both"/>
      </w:pPr>
      <w:r>
        <w:rPr>
          <w:rFonts w:ascii="Calibri" w:hAnsi="Calibri"/>
          <w:b w:val="0"/>
          <w:i w:val="0"/>
          <w:color w:val="000000"/>
          <w:sz w:val="21"/>
        </w:rPr>
        <w:t>Every architectural claim in this document is grounded in source material in the docs/ folder. Where a measurement, a finding, or a remediation is cited, it traces to one of the four primary sources above. Diagrams are reproduced from the canonical Mermaid sources in the Developer Guide, augmented with the next-generation architecture preserved in CSL_Arch_nextGen.pdf.</w:t>
      </w:r>
    </w:p>
    <w:p>
      <w:pPr>
        <w:spacing w:before="280" w:after="160"/>
        <w:outlineLvl w:val="1"/>
      </w:pPr>
      <w:r>
        <w:rPr>
          <w:rFonts w:ascii="Calibri" w:hAnsi="Calibri"/>
          <w:b/>
          <w:i w:val="0"/>
          <w:color w:val="1B3A6B"/>
          <w:sz w:val="34"/>
        </w:rPr>
        <w:t>Document Map</w:t>
      </w:r>
    </w:p>
    <w:p>
      <w:pPr>
        <w:pStyle w:val="ListBullet"/>
        <w:spacing w:after="40"/>
      </w:pPr>
      <w:r>
        <w:rPr>
          <w:rFonts w:ascii="Calibri" w:hAnsi="Calibri"/>
          <w:b w:val="0"/>
          <w:i w:val="0"/>
          <w:sz w:val="21"/>
        </w:rPr>
        <w:t>Section 1 — Overview of Eugene: who it is for, what it does, and why it matters to CSL Behring.</w:t>
      </w:r>
    </w:p>
    <w:p>
      <w:pPr>
        <w:pStyle w:val="ListBullet"/>
        <w:spacing w:after="40"/>
      </w:pPr>
      <w:r>
        <w:rPr>
          <w:rFonts w:ascii="Calibri" w:hAnsi="Calibri"/>
          <w:b w:val="0"/>
          <w:i w:val="0"/>
          <w:sz w:val="21"/>
        </w:rPr>
        <w:t>Section 2 — Scope and Capabilities: what the platform answers today, what data sources are integrated, and what use cases are in production.</w:t>
      </w:r>
    </w:p>
    <w:p>
      <w:pPr>
        <w:pStyle w:val="ListBullet"/>
        <w:spacing w:after="40"/>
      </w:pPr>
      <w:r>
        <w:rPr>
          <w:rFonts w:ascii="Calibri" w:hAnsi="Calibri"/>
          <w:b w:val="0"/>
          <w:i w:val="0"/>
          <w:sz w:val="21"/>
        </w:rPr>
        <w:t>Section 3 — Detailed Current-State Architecture: the five running services, the data model, the request flow, the authentication design, and the AWS deployment topology.</w:t>
      </w:r>
    </w:p>
    <w:p>
      <w:pPr>
        <w:pStyle w:val="ListBullet"/>
        <w:spacing w:after="40"/>
      </w:pPr>
      <w:r>
        <w:rPr>
          <w:rFonts w:ascii="Calibri" w:hAnsi="Calibri"/>
          <w:b w:val="0"/>
          <w:i w:val="0"/>
          <w:sz w:val="21"/>
        </w:rPr>
        <w:t>Section 4 — Gaps Identified: the twenty-one findings of the Stage 1 audit (CRITICAL, HIGH, MEDIUM) plus operational, data, and experience gaps observed in this assessment.</w:t>
      </w:r>
    </w:p>
    <w:p>
      <w:pPr>
        <w:pStyle w:val="ListBullet"/>
        <w:spacing w:after="40"/>
      </w:pPr>
      <w:r>
        <w:rPr>
          <w:rFonts w:ascii="Calibri" w:hAnsi="Calibri"/>
          <w:b w:val="0"/>
          <w:i w:val="0"/>
          <w:sz w:val="21"/>
        </w:rPr>
        <w:t>Section 5 — Technical Recommendations: the next-generation target architecture, the four-phase remediation roadmap, the user-experience enhancement programme, and the non-functional commitments.</w:t>
      </w:r>
    </w:p>
    <w:p>
      <w:pPr>
        <w:spacing w:before="120" w:after="160"/>
        <w:ind w:left="283" w:right="283"/>
        <w:shd w:val="clear" w:color="auto" w:fill="FFF3E0"/>
      </w:pPr>
      <w:r>
        <w:rPr>
          <w:rFonts w:ascii="Calibri" w:hAnsi="Calibri"/>
          <w:b w:val="0"/>
          <w:i/>
          <w:color w:val="A6192E"/>
          <w:sz w:val="20"/>
        </w:rPr>
        <w:t>⚑  Confidential. Prepared for CSL Behring stakeholders. Reproduction or distribution outside CSL Behring requires programme-lead approval.</w:t>
      </w:r>
    </w:p>
    <w:p>
      <w:r>
        <w:br w:type="page"/>
      </w:r>
    </w:p>
    <w:p>
      <w:pPr>
        <w:spacing w:before="360" w:after="240"/>
        <w:outlineLvl w:val="0"/>
      </w:pPr>
      <w:r>
        <w:rPr>
          <w:rFonts w:ascii="Calibri" w:hAnsi="Calibri"/>
          <w:b/>
          <w:i w:val="0"/>
          <w:color w:val="A6192E"/>
          <w:sz w:val="48"/>
        </w:rPr>
        <w:t>Section 1 — Overview of Eugene</w:t>
      </w:r>
    </w:p>
    <w:p>
      <w:r>
        <w:br w:type="page"/>
      </w:r>
    </w:p>
    <w:p>
      <w:pPr>
        <w:spacing w:before="280" w:after="160"/>
        <w:outlineLvl w:val="1"/>
      </w:pPr>
      <w:r>
        <w:rPr>
          <w:rFonts w:ascii="Calibri" w:hAnsi="Calibri"/>
          <w:b/>
          <w:i w:val="0"/>
          <w:color w:val="1B3A6B"/>
          <w:sz w:val="34"/>
        </w:rPr>
        <w:t>1.  What Eugene Is</w:t>
      </w:r>
    </w:p>
    <w:p>
      <w:pPr>
        <w:spacing w:after="120"/>
        <w:jc w:val="both"/>
      </w:pPr>
      <w:r>
        <w:rPr>
          <w:rFonts w:ascii="Calibri" w:hAnsi="Calibri"/>
          <w:b w:val="0"/>
          <w:i w:val="0"/>
          <w:color w:val="000000"/>
          <w:sz w:val="21"/>
        </w:rPr>
        <w:t>Eugene is an enterprise-grade, AI-powered biomedical knowledge graph platform purpose-built for CSL Behring's competitive intelligence and research analytics operations. It allows non-technical users — Business Development analysts, R&amp;D scientists, and Medical Affairs professionals — to pose complex, multi-hop biomedical questions in plain English and to receive synthesised, evidence-backed answers in seconds. The underlying graph integrates authoritative public data (USPTO patents, PubMed literature, ClinicalTrials.gov records) with internal CSL data assets, delivering a single conversational surface across what was previously a fragmented set of databases and tools.</w:t>
      </w:r>
    </w:p>
    <w:p>
      <w:pPr>
        <w:spacing w:before="200" w:after="80"/>
        <w:outlineLvl w:val="2"/>
      </w:pPr>
      <w:r>
        <w:rPr>
          <w:rFonts w:ascii="Calibri" w:hAnsi="Calibri"/>
          <w:b/>
          <w:i w:val="0"/>
          <w:color w:val="2E6DA4"/>
          <w:sz w:val="26"/>
        </w:rPr>
        <w:t>1.1  Mission Statement</w:t>
      </w:r>
    </w:p>
    <w:p>
      <w:pPr>
        <w:spacing w:after="120"/>
        <w:jc w:val="both"/>
      </w:pPr>
      <w:r>
        <w:rPr>
          <w:rFonts w:ascii="Calibri" w:hAnsi="Calibri"/>
          <w:b w:val="0"/>
          <w:i w:val="0"/>
          <w:color w:val="000000"/>
          <w:sz w:val="21"/>
        </w:rPr>
        <w:t>Eugene exists to compress the time required to answer biomedical competitive-intelligence and research questions from days of manual database navigation to seconds of conversational interaction. The Project Validation Document positions Eugene as a platform whose explicit objective is that a non-technical user should pose a multi-hop biomedical question in plain English and receive a synthesised, evidence-backed answer in real time.</w:t>
      </w:r>
    </w:p>
    <w:p>
      <w:pPr>
        <w:spacing w:before="200" w:after="80"/>
        <w:outlineLvl w:val="2"/>
      </w:pPr>
      <w:r>
        <w:rPr>
          <w:rFonts w:ascii="Calibri" w:hAnsi="Calibri"/>
          <w:b/>
          <w:i w:val="0"/>
          <w:color w:val="2E6DA4"/>
          <w:sz w:val="26"/>
        </w:rPr>
        <w:t>1.2  Stakeholder Map</w:t>
      </w:r>
    </w:p>
    <w:tbl>
      <w:tblPr>
        <w:tblStyle w:val="LightGrid-Accent1"/>
        <w:tblW w:type="auto" w:w="0"/>
        <w:jc w:val="center"/>
        <w:tblLook w:firstColumn="1" w:firstRow="1" w:lastColumn="0" w:lastRow="0" w:noHBand="0" w:noVBand="1" w:val="04A0"/>
      </w:tblPr>
      <w:tblGrid>
        <w:gridCol w:w="3324"/>
        <w:gridCol w:w="3324"/>
        <w:gridCol w:w="3324"/>
      </w:tblGrid>
      <w:tr>
        <w:tc>
          <w:tcPr>
            <w:tcW w:type="dxa" w:w="3324"/>
            <w:shd w:val="clear" w:color="auto" w:fill="1B3A6B"/>
            <w:vAlign w:val="top"/>
          </w:tcPr>
          <w:p>
            <w:r/>
            <w:r>
              <w:rPr>
                <w:rFonts w:ascii="Calibri" w:hAnsi="Calibri"/>
                <w:b/>
                <w:i w:val="0"/>
                <w:color w:val="FFFFFF"/>
                <w:sz w:val="18"/>
              </w:rPr>
              <w:t>Role</w:t>
            </w:r>
          </w:p>
        </w:tc>
        <w:tc>
          <w:tcPr>
            <w:tcW w:type="dxa" w:w="3324"/>
            <w:shd w:val="clear" w:color="auto" w:fill="1B3A6B"/>
            <w:vAlign w:val="top"/>
          </w:tcPr>
          <w:p>
            <w:r/>
            <w:r>
              <w:rPr>
                <w:rFonts w:ascii="Calibri" w:hAnsi="Calibri"/>
                <w:b/>
                <w:i w:val="0"/>
                <w:color w:val="FFFFFF"/>
                <w:sz w:val="18"/>
              </w:rPr>
              <w:t>Stakeholder Group</w:t>
            </w:r>
          </w:p>
        </w:tc>
        <w:tc>
          <w:tcPr>
            <w:tcW w:type="dxa" w:w="3324"/>
            <w:shd w:val="clear" w:color="auto" w:fill="1B3A6B"/>
            <w:vAlign w:val="top"/>
          </w:tcPr>
          <w:p>
            <w:r/>
            <w:r>
              <w:rPr>
                <w:rFonts w:ascii="Calibri" w:hAnsi="Calibri"/>
                <w:b/>
                <w:i w:val="0"/>
                <w:color w:val="FFFFFF"/>
                <w:sz w:val="18"/>
              </w:rPr>
              <w:t>Responsibility</w:t>
            </w:r>
          </w:p>
        </w:tc>
      </w:tr>
      <w:tr>
        <w:tc>
          <w:tcPr>
            <w:tcW w:type="dxa" w:w="3324"/>
            <w:vAlign w:val="top"/>
          </w:tcPr>
          <w:p>
            <w:r/>
            <w:r>
              <w:rPr>
                <w:rFonts w:ascii="Calibri" w:hAnsi="Calibri"/>
                <w:b w:val="0"/>
                <w:i w:val="0"/>
                <w:color w:val="000000"/>
                <w:sz w:val="18"/>
              </w:rPr>
              <w:t>Executive Sponsor</w:t>
            </w:r>
          </w:p>
        </w:tc>
        <w:tc>
          <w:tcPr>
            <w:tcW w:type="dxa" w:w="3324"/>
            <w:vAlign w:val="top"/>
          </w:tcPr>
          <w:p>
            <w:r/>
            <w:r>
              <w:rPr>
                <w:rFonts w:ascii="Calibri" w:hAnsi="Calibri"/>
                <w:b w:val="0"/>
                <w:i w:val="0"/>
                <w:color w:val="000000"/>
                <w:sz w:val="18"/>
              </w:rPr>
              <w:t>CSL Behring Leadership</w:t>
            </w:r>
          </w:p>
        </w:tc>
        <w:tc>
          <w:tcPr>
            <w:tcW w:type="dxa" w:w="3324"/>
            <w:vAlign w:val="top"/>
          </w:tcPr>
          <w:p>
            <w:r/>
            <w:r>
              <w:rPr>
                <w:rFonts w:ascii="Calibri" w:hAnsi="Calibri"/>
                <w:b w:val="0"/>
                <w:i w:val="0"/>
                <w:color w:val="000000"/>
                <w:sz w:val="18"/>
              </w:rPr>
              <w:t>Strategic direction; budget approval</w:t>
            </w:r>
          </w:p>
        </w:tc>
      </w:tr>
      <w:tr>
        <w:tc>
          <w:tcPr>
            <w:tcW w:type="dxa" w:w="3324"/>
            <w:vAlign w:val="top"/>
          </w:tcPr>
          <w:p>
            <w:r/>
            <w:r>
              <w:rPr>
                <w:rFonts w:ascii="Calibri" w:hAnsi="Calibri"/>
                <w:b w:val="0"/>
                <w:i w:val="0"/>
                <w:color w:val="000000"/>
                <w:sz w:val="18"/>
              </w:rPr>
              <w:t>Product Owner</w:t>
            </w:r>
          </w:p>
        </w:tc>
        <w:tc>
          <w:tcPr>
            <w:tcW w:type="dxa" w:w="3324"/>
            <w:vAlign w:val="top"/>
          </w:tcPr>
          <w:p>
            <w:r/>
            <w:r>
              <w:rPr>
                <w:rFonts w:ascii="Calibri" w:hAnsi="Calibri"/>
                <w:b w:val="0"/>
                <w:i w:val="0"/>
                <w:color w:val="000000"/>
                <w:sz w:val="18"/>
              </w:rPr>
              <w:t>R&amp;D / Competitive Intelligence</w:t>
            </w:r>
          </w:p>
        </w:tc>
        <w:tc>
          <w:tcPr>
            <w:tcW w:type="dxa" w:w="3324"/>
            <w:vAlign w:val="top"/>
          </w:tcPr>
          <w:p>
            <w:r/>
            <w:r>
              <w:rPr>
                <w:rFonts w:ascii="Calibri" w:hAnsi="Calibri"/>
                <w:b w:val="0"/>
                <w:i w:val="0"/>
                <w:color w:val="000000"/>
                <w:sz w:val="18"/>
              </w:rPr>
              <w:t>Requirements prioritisation; user acceptance</w:t>
            </w:r>
          </w:p>
        </w:tc>
      </w:tr>
      <w:tr>
        <w:tc>
          <w:tcPr>
            <w:tcW w:type="dxa" w:w="3324"/>
            <w:vAlign w:val="top"/>
          </w:tcPr>
          <w:p>
            <w:r/>
            <w:r>
              <w:rPr>
                <w:rFonts w:ascii="Calibri" w:hAnsi="Calibri"/>
                <w:b w:val="0"/>
                <w:i w:val="0"/>
                <w:color w:val="000000"/>
                <w:sz w:val="18"/>
              </w:rPr>
              <w:t>Platform Engineering</w:t>
            </w:r>
          </w:p>
        </w:tc>
        <w:tc>
          <w:tcPr>
            <w:tcW w:type="dxa" w:w="3324"/>
            <w:vAlign w:val="top"/>
          </w:tcPr>
          <w:p>
            <w:r/>
            <w:r>
              <w:rPr>
                <w:rFonts w:ascii="Calibri" w:hAnsi="Calibri"/>
                <w:b w:val="0"/>
                <w:i w:val="0"/>
                <w:color w:val="000000"/>
                <w:sz w:val="18"/>
              </w:rPr>
              <w:t>AI / Data Engineering Team</w:t>
            </w:r>
          </w:p>
        </w:tc>
        <w:tc>
          <w:tcPr>
            <w:tcW w:type="dxa" w:w="3324"/>
            <w:vAlign w:val="top"/>
          </w:tcPr>
          <w:p>
            <w:r/>
            <w:r>
              <w:rPr>
                <w:rFonts w:ascii="Calibri" w:hAnsi="Calibri"/>
                <w:b w:val="0"/>
                <w:i w:val="0"/>
                <w:color w:val="000000"/>
                <w:sz w:val="18"/>
              </w:rPr>
              <w:t>Architecture, development, deployment</w:t>
            </w:r>
          </w:p>
        </w:tc>
      </w:tr>
      <w:tr>
        <w:tc>
          <w:tcPr>
            <w:tcW w:type="dxa" w:w="3324"/>
            <w:vAlign w:val="top"/>
          </w:tcPr>
          <w:p>
            <w:r/>
            <w:r>
              <w:rPr>
                <w:rFonts w:ascii="Calibri" w:hAnsi="Calibri"/>
                <w:b w:val="0"/>
                <w:i w:val="0"/>
                <w:color w:val="000000"/>
                <w:sz w:val="18"/>
              </w:rPr>
              <w:t>End Users</w:t>
            </w:r>
          </w:p>
        </w:tc>
        <w:tc>
          <w:tcPr>
            <w:tcW w:type="dxa" w:w="3324"/>
            <w:vAlign w:val="top"/>
          </w:tcPr>
          <w:p>
            <w:r/>
            <w:r>
              <w:rPr>
                <w:rFonts w:ascii="Calibri" w:hAnsi="Calibri"/>
                <w:b w:val="0"/>
                <w:i w:val="0"/>
                <w:color w:val="000000"/>
                <w:sz w:val="18"/>
              </w:rPr>
              <w:t>Scientists, Analysts, Medical Affairs</w:t>
            </w:r>
          </w:p>
        </w:tc>
        <w:tc>
          <w:tcPr>
            <w:tcW w:type="dxa" w:w="3324"/>
            <w:vAlign w:val="top"/>
          </w:tcPr>
          <w:p>
            <w:r/>
            <w:r>
              <w:rPr>
                <w:rFonts w:ascii="Calibri" w:hAnsi="Calibri"/>
                <w:b w:val="0"/>
                <w:i w:val="0"/>
                <w:color w:val="000000"/>
                <w:sz w:val="18"/>
              </w:rPr>
              <w:t>Query, interpret, and act on insights</w:t>
            </w:r>
          </w:p>
        </w:tc>
      </w:tr>
      <w:tr>
        <w:tc>
          <w:tcPr>
            <w:tcW w:type="dxa" w:w="3324"/>
            <w:vAlign w:val="top"/>
          </w:tcPr>
          <w:p>
            <w:r/>
            <w:r>
              <w:rPr>
                <w:rFonts w:ascii="Calibri" w:hAnsi="Calibri"/>
                <w:b w:val="0"/>
                <w:i w:val="0"/>
                <w:color w:val="000000"/>
                <w:sz w:val="18"/>
              </w:rPr>
              <w:t>Security / Compliance</w:t>
            </w:r>
          </w:p>
        </w:tc>
        <w:tc>
          <w:tcPr>
            <w:tcW w:type="dxa" w:w="3324"/>
            <w:vAlign w:val="top"/>
          </w:tcPr>
          <w:p>
            <w:r/>
            <w:r>
              <w:rPr>
                <w:rFonts w:ascii="Calibri" w:hAnsi="Calibri"/>
                <w:b w:val="0"/>
                <w:i w:val="0"/>
                <w:color w:val="000000"/>
                <w:sz w:val="18"/>
              </w:rPr>
              <w:t>IT Security; Legal</w:t>
            </w:r>
          </w:p>
        </w:tc>
        <w:tc>
          <w:tcPr>
            <w:tcW w:type="dxa" w:w="3324"/>
            <w:vAlign w:val="top"/>
          </w:tcPr>
          <w:p>
            <w:r/>
            <w:r>
              <w:rPr>
                <w:rFonts w:ascii="Calibri" w:hAnsi="Calibri"/>
                <w:b w:val="0"/>
                <w:i w:val="0"/>
                <w:color w:val="000000"/>
                <w:sz w:val="18"/>
              </w:rPr>
              <w:t>Authentication, data governance review</w:t>
            </w:r>
          </w:p>
        </w:tc>
      </w:tr>
      <w:tr>
        <w:tc>
          <w:tcPr>
            <w:tcW w:type="dxa" w:w="3324"/>
            <w:vAlign w:val="top"/>
          </w:tcPr>
          <w:p>
            <w:r/>
            <w:r>
              <w:rPr>
                <w:rFonts w:ascii="Calibri" w:hAnsi="Calibri"/>
                <w:b w:val="0"/>
                <w:i w:val="0"/>
                <w:color w:val="000000"/>
                <w:sz w:val="18"/>
              </w:rPr>
              <w:t>Infrastructure</w:t>
            </w:r>
          </w:p>
        </w:tc>
        <w:tc>
          <w:tcPr>
            <w:tcW w:type="dxa" w:w="3324"/>
            <w:vAlign w:val="top"/>
          </w:tcPr>
          <w:p>
            <w:r/>
            <w:r>
              <w:rPr>
                <w:rFonts w:ascii="Calibri" w:hAnsi="Calibri"/>
                <w:b w:val="0"/>
                <w:i w:val="0"/>
                <w:color w:val="000000"/>
                <w:sz w:val="18"/>
              </w:rPr>
              <w:t>Cloud Platform Team</w:t>
            </w:r>
          </w:p>
        </w:tc>
        <w:tc>
          <w:tcPr>
            <w:tcW w:type="dxa" w:w="3324"/>
            <w:vAlign w:val="top"/>
          </w:tcPr>
          <w:p>
            <w:r/>
            <w:r>
              <w:rPr>
                <w:rFonts w:ascii="Calibri" w:hAnsi="Calibri"/>
                <w:b w:val="0"/>
                <w:i w:val="0"/>
                <w:color w:val="000000"/>
                <w:sz w:val="18"/>
              </w:rPr>
              <w:t>AWS environment management</w:t>
            </w:r>
          </w:p>
        </w:tc>
      </w:tr>
    </w:tbl>
    <w:p/>
    <w:p>
      <w:pPr>
        <w:spacing w:before="200" w:after="80"/>
        <w:outlineLvl w:val="2"/>
      </w:pPr>
      <w:r>
        <w:rPr>
          <w:rFonts w:ascii="Calibri" w:hAnsi="Calibri"/>
          <w:b/>
          <w:i w:val="0"/>
          <w:color w:val="2E6DA4"/>
          <w:sz w:val="26"/>
        </w:rPr>
        <w:t>1.3  Business Value</w:t>
      </w:r>
    </w:p>
    <w:p>
      <w:pPr>
        <w:spacing w:after="120"/>
        <w:jc w:val="both"/>
      </w:pPr>
      <w:r>
        <w:rPr>
          <w:rFonts w:ascii="Calibri" w:hAnsi="Calibri"/>
          <w:b w:val="0"/>
          <w:i w:val="0"/>
          <w:color w:val="000000"/>
          <w:sz w:val="21"/>
        </w:rPr>
        <w:t>Eugene delivers five business outcomes today:</w:t>
      </w:r>
    </w:p>
    <w:p>
      <w:pPr>
        <w:pStyle w:val="ListBullet"/>
        <w:spacing w:after="40"/>
      </w:pPr>
      <w:r>
        <w:rPr>
          <w:rFonts w:ascii="Calibri" w:hAnsi="Calibri"/>
          <w:b w:val="0"/>
          <w:i w:val="0"/>
          <w:sz w:val="21"/>
        </w:rPr>
        <w:t>Accelerated competitive intelligence — analysts query drug pipelines and patent landscapes in seconds rather than hours of manual database navigation.</w:t>
      </w:r>
    </w:p>
    <w:p>
      <w:pPr>
        <w:pStyle w:val="ListBullet"/>
        <w:spacing w:after="40"/>
      </w:pPr>
      <w:r>
        <w:rPr>
          <w:rFonts w:ascii="Calibri" w:hAnsi="Calibri"/>
          <w:b w:val="0"/>
          <w:i w:val="0"/>
          <w:sz w:val="21"/>
        </w:rPr>
        <w:t>Reduced research latency — the agent eliminates the need for manual Cypher authorship, removing a hard skill barrier between scientists and the graph.</w:t>
      </w:r>
    </w:p>
    <w:p>
      <w:pPr>
        <w:pStyle w:val="ListBullet"/>
        <w:spacing w:after="40"/>
      </w:pPr>
      <w:r>
        <w:rPr>
          <w:rFonts w:ascii="Calibri" w:hAnsi="Calibri"/>
          <w:b w:val="0"/>
          <w:i w:val="0"/>
          <w:sz w:val="21"/>
        </w:rPr>
        <w:t>Centralisation of biomedical knowledge — USPTO, PubMed, ClinicalTrials.gov, DrugBank, and internal CSL data are reachable through a single conversational surface.</w:t>
      </w:r>
    </w:p>
    <w:p>
      <w:pPr>
        <w:pStyle w:val="ListBullet"/>
        <w:spacing w:after="40"/>
      </w:pPr>
      <w:r>
        <w:rPr>
          <w:rFonts w:ascii="Calibri" w:hAnsi="Calibri"/>
          <w:b w:val="0"/>
          <w:i w:val="0"/>
          <w:sz w:val="21"/>
        </w:rPr>
        <w:t>Scalable cloud-native infrastructure — AWS ECS Fargate, ALB-fronted, Terraform-managed in two environments (development and production).</w:t>
      </w:r>
    </w:p>
    <w:p>
      <w:pPr>
        <w:pStyle w:val="ListBullet"/>
        <w:spacing w:after="40"/>
      </w:pPr>
      <w:r>
        <w:rPr>
          <w:rFonts w:ascii="Calibri" w:hAnsi="Calibri"/>
          <w:b w:val="0"/>
          <w:i w:val="0"/>
          <w:sz w:val="21"/>
        </w:rPr>
        <w:t>Auditability — every agent reasoning chain decomposes into structured MCP tool calls that are individually loggable and explainable.</w:t>
      </w:r>
    </w:p>
    <w:p>
      <w:r>
        <w:br w:type="page"/>
      </w:r>
    </w:p>
    <w:p>
      <w:pPr>
        <w:spacing w:before="360" w:after="240"/>
        <w:outlineLvl w:val="0"/>
      </w:pPr>
      <w:r>
        <w:rPr>
          <w:rFonts w:ascii="Calibri" w:hAnsi="Calibri"/>
          <w:b/>
          <w:i w:val="0"/>
          <w:color w:val="A6192E"/>
          <w:sz w:val="48"/>
        </w:rPr>
        <w:t>Section 2 — Scope and Capabilities</w:t>
      </w:r>
    </w:p>
    <w:p>
      <w:r>
        <w:br w:type="page"/>
      </w:r>
    </w:p>
    <w:p>
      <w:pPr>
        <w:spacing w:before="280" w:after="160"/>
        <w:outlineLvl w:val="1"/>
      </w:pPr>
      <w:r>
        <w:rPr>
          <w:rFonts w:ascii="Calibri" w:hAnsi="Calibri"/>
          <w:b/>
          <w:i w:val="0"/>
          <w:color w:val="1B3A6B"/>
          <w:sz w:val="34"/>
        </w:rPr>
        <w:t>2.  What Eugene Can Answer</w:t>
      </w:r>
    </w:p>
    <w:p>
      <w:pPr>
        <w:spacing w:before="200" w:after="80"/>
        <w:outlineLvl w:val="2"/>
      </w:pPr>
      <w:r>
        <w:rPr>
          <w:rFonts w:ascii="Calibri" w:hAnsi="Calibri"/>
          <w:b/>
          <w:i w:val="0"/>
          <w:color w:val="2E6DA4"/>
          <w:sz w:val="26"/>
        </w:rPr>
        <w:t>2.1  Representative Questions</w:t>
      </w:r>
    </w:p>
    <w:p>
      <w:pPr>
        <w:spacing w:after="120"/>
        <w:jc w:val="both"/>
      </w:pPr>
      <w:r>
        <w:rPr>
          <w:rFonts w:ascii="Calibri" w:hAnsi="Calibri"/>
          <w:b w:val="0"/>
          <w:i w:val="0"/>
          <w:color w:val="000000"/>
          <w:sz w:val="21"/>
        </w:rPr>
        <w:t>The following questions, drawn from the validation document and demonstrated end-to-end on the platform today, illustrate the breadth of capability. Each is answerable by a non-technical user in under thirty seconds:</w:t>
      </w:r>
    </w:p>
    <w:p>
      <w:pPr>
        <w:pStyle w:val="ListBullet"/>
        <w:spacing w:after="40"/>
      </w:pPr>
      <w:r>
        <w:rPr>
          <w:rFonts w:ascii="Calibri" w:hAnsi="Calibri"/>
          <w:b w:val="0"/>
          <w:i w:val="0"/>
          <w:sz w:val="21"/>
        </w:rPr>
        <w:t>Which organisations hold patents on drugs targeting the same indication as our lead compound, and what is their clinical trial status?</w:t>
      </w:r>
    </w:p>
    <w:p>
      <w:pPr>
        <w:pStyle w:val="ListBullet"/>
        <w:spacing w:after="40"/>
      </w:pPr>
      <w:r>
        <w:rPr>
          <w:rFonts w:ascii="Calibri" w:hAnsi="Calibri"/>
          <w:b w:val="0"/>
          <w:i w:val="0"/>
          <w:sz w:val="21"/>
        </w:rPr>
        <w:t>Find all organisations in Germany with active Phase III trials in rare disease.</w:t>
      </w:r>
    </w:p>
    <w:p>
      <w:pPr>
        <w:pStyle w:val="ListBullet"/>
        <w:spacing w:after="40"/>
      </w:pPr>
      <w:r>
        <w:rPr>
          <w:rFonts w:ascii="Calibri" w:hAnsi="Calibri"/>
          <w:b w:val="0"/>
          <w:i w:val="0"/>
          <w:sz w:val="21"/>
        </w:rPr>
        <w:t>Which drugs target EGFR and what trials are sponsored by which organisations?</w:t>
      </w:r>
    </w:p>
    <w:p>
      <w:pPr>
        <w:pStyle w:val="ListBullet"/>
        <w:spacing w:after="40"/>
      </w:pPr>
      <w:r>
        <w:rPr>
          <w:rFonts w:ascii="Calibri" w:hAnsi="Calibri"/>
          <w:b w:val="0"/>
          <w:i w:val="0"/>
          <w:sz w:val="21"/>
        </w:rPr>
        <w:t>Trace the connection between AstraZeneca and the KRAS gene through patents and trials.</w:t>
      </w:r>
    </w:p>
    <w:p>
      <w:pPr>
        <w:pStyle w:val="ListBullet"/>
        <w:spacing w:after="40"/>
      </w:pPr>
      <w:r>
        <w:rPr>
          <w:rFonts w:ascii="Calibri" w:hAnsi="Calibri"/>
          <w:b w:val="0"/>
          <w:i w:val="0"/>
          <w:sz w:val="21"/>
        </w:rPr>
        <w:t>What are the relationships of Hemophilia A in the graph?</w:t>
      </w:r>
    </w:p>
    <w:p>
      <w:pPr>
        <w:pStyle w:val="ListBullet"/>
        <w:spacing w:after="40"/>
      </w:pPr>
      <w:r>
        <w:rPr>
          <w:rFonts w:ascii="Calibri" w:hAnsi="Calibri"/>
          <w:b w:val="0"/>
          <w:i w:val="0"/>
          <w:sz w:val="21"/>
        </w:rPr>
        <w:t>What are the drug aliases for Adderall?</w:t>
      </w:r>
    </w:p>
    <w:p>
      <w:pPr>
        <w:pStyle w:val="ListBullet"/>
        <w:spacing w:after="40"/>
      </w:pPr>
      <w:r>
        <w:rPr>
          <w:rFonts w:ascii="Calibri" w:hAnsi="Calibri"/>
          <w:b w:val="0"/>
          <w:i w:val="0"/>
          <w:sz w:val="21"/>
        </w:rPr>
        <w:t>Generate a table of drugs, diseases and clinical trials researched by Biogen Inc.</w:t>
      </w:r>
    </w:p>
    <w:p>
      <w:pPr>
        <w:pStyle w:val="ListBullet"/>
        <w:spacing w:after="40"/>
      </w:pPr>
      <w:r>
        <w:rPr>
          <w:rFonts w:ascii="Calibri" w:hAnsi="Calibri"/>
          <w:b w:val="0"/>
          <w:i w:val="0"/>
          <w:sz w:val="21"/>
        </w:rPr>
        <w:t>What recent PubMed studies mention ABL1?</w:t>
      </w:r>
    </w:p>
    <w:p>
      <w:pPr>
        <w:spacing w:before="280" w:after="160"/>
        <w:outlineLvl w:val="1"/>
      </w:pPr>
      <w:r>
        <w:rPr>
          <w:rFonts w:ascii="Calibri" w:hAnsi="Calibri"/>
          <w:b/>
          <w:i w:val="0"/>
          <w:color w:val="1B3A6B"/>
          <w:sz w:val="34"/>
        </w:rPr>
        <w:t>3.  Data Coverage</w:t>
      </w:r>
    </w:p>
    <w:p>
      <w:pPr>
        <w:spacing w:before="200" w:after="80"/>
        <w:outlineLvl w:val="2"/>
      </w:pPr>
      <w:r>
        <w:rPr>
          <w:rFonts w:ascii="Calibri" w:hAnsi="Calibri"/>
          <w:b/>
          <w:i w:val="0"/>
          <w:color w:val="2E6DA4"/>
          <w:sz w:val="26"/>
        </w:rPr>
        <w:t>3.1  Data Sources Integrated</w:t>
      </w:r>
    </w:p>
    <w:p>
      <w:pPr>
        <w:spacing w:after="120"/>
        <w:jc w:val="both"/>
      </w:pPr>
      <w:r>
        <w:rPr>
          <w:rFonts w:ascii="Calibri" w:hAnsi="Calibri"/>
          <w:b w:val="0"/>
          <w:i w:val="0"/>
          <w:color w:val="000000"/>
          <w:sz w:val="21"/>
        </w:rPr>
        <w:t>The Mermaid pipeline below — reproduced from the developer guide — shows how each source is downloaded, transformed into Entity / Relationship records, expanded with type nodes, and merged into Neo4j:</w:t>
      </w:r>
    </w:p>
    <w:p>
      <w:pPr>
        <w:jc w:val="center"/>
      </w:pPr>
      <w:r>
        <w:drawing>
          <wp:inline xmlns:a="http://schemas.openxmlformats.org/drawingml/2006/main" xmlns:pic="http://schemas.openxmlformats.org/drawingml/2006/picture">
            <wp:extent cx="5852160" cy="3506124"/>
            <wp:docPr id="2" name="Picture 2"/>
            <wp:cNvGraphicFramePr>
              <a:graphicFrameLocks noChangeAspect="1"/>
            </wp:cNvGraphicFramePr>
            <a:graphic>
              <a:graphicData uri="http://schemas.openxmlformats.org/drawingml/2006/picture">
                <pic:pic>
                  <pic:nvPicPr>
                    <pic:cNvPr id="0" name="diagram_03.png"/>
                    <pic:cNvPicPr/>
                  </pic:nvPicPr>
                  <pic:blipFill>
                    <a:blip r:embed="rId12"/>
                    <a:stretch>
                      <a:fillRect/>
                    </a:stretch>
                  </pic:blipFill>
                  <pic:spPr>
                    <a:xfrm>
                      <a:off x="0" y="0"/>
                      <a:ext cx="5852160" cy="3506124"/>
                    </a:xfrm>
                    <a:prstGeom prst="rect"/>
                  </pic:spPr>
                </pic:pic>
              </a:graphicData>
            </a:graphic>
          </wp:inline>
        </w:drawing>
      </w:r>
    </w:p>
    <w:p>
      <w:pPr>
        <w:spacing w:after="160"/>
        <w:jc w:val="center"/>
      </w:pPr>
      <w:r>
        <w:rPr>
          <w:rFonts w:ascii="Calibri" w:hAnsi="Calibri"/>
          <w:b w:val="0"/>
          <w:i/>
          <w:color w:val="424242"/>
          <w:sz w:val="18"/>
        </w:rPr>
        <w:t>Figure (Mermaid). Data ingestion pipeline (download → transform → load), from DEVELOPER_GUIDE.md §5.</w:t>
      </w:r>
    </w:p>
    <w:tbl>
      <w:tblPr>
        <w:tblStyle w:val="LightGrid-Accent1"/>
        <w:tblW w:type="auto" w:w="0"/>
        <w:jc w:val="center"/>
        <w:tblLook w:firstColumn="1" w:firstRow="1" w:lastColumn="0" w:lastRow="0" w:noHBand="0" w:noVBand="1" w:val="04A0"/>
      </w:tblPr>
      <w:tblGrid>
        <w:gridCol w:w="3324"/>
        <w:gridCol w:w="3324"/>
        <w:gridCol w:w="3324"/>
      </w:tblGrid>
      <w:tr>
        <w:tc>
          <w:tcPr>
            <w:tcW w:type="dxa" w:w="3324"/>
            <w:shd w:val="clear" w:color="auto" w:fill="1B3A6B"/>
            <w:vAlign w:val="top"/>
          </w:tcPr>
          <w:p>
            <w:r/>
            <w:r>
              <w:rPr>
                <w:rFonts w:ascii="Calibri" w:hAnsi="Calibri"/>
                <w:b/>
                <w:i w:val="0"/>
                <w:color w:val="FFFFFF"/>
                <w:sz w:val="18"/>
              </w:rPr>
              <w:t>Source</w:t>
            </w:r>
          </w:p>
        </w:tc>
        <w:tc>
          <w:tcPr>
            <w:tcW w:type="dxa" w:w="3324"/>
            <w:shd w:val="clear" w:color="auto" w:fill="1B3A6B"/>
            <w:vAlign w:val="top"/>
          </w:tcPr>
          <w:p>
            <w:r/>
            <w:r>
              <w:rPr>
                <w:rFonts w:ascii="Calibri" w:hAnsi="Calibri"/>
                <w:b/>
                <w:i w:val="0"/>
                <w:color w:val="FFFFFF"/>
                <w:sz w:val="18"/>
              </w:rPr>
              <w:t>Status</w:t>
            </w:r>
          </w:p>
        </w:tc>
        <w:tc>
          <w:tcPr>
            <w:tcW w:type="dxa" w:w="3324"/>
            <w:shd w:val="clear" w:color="auto" w:fill="1B3A6B"/>
            <w:vAlign w:val="top"/>
          </w:tcPr>
          <w:p>
            <w:r/>
            <w:r>
              <w:rPr>
                <w:rFonts w:ascii="Calibri" w:hAnsi="Calibri"/>
                <w:b/>
                <w:i w:val="0"/>
                <w:color w:val="FFFFFF"/>
                <w:sz w:val="18"/>
              </w:rPr>
              <w:t>Description</w:t>
            </w:r>
          </w:p>
        </w:tc>
      </w:tr>
      <w:tr>
        <w:tc>
          <w:tcPr>
            <w:tcW w:type="dxa" w:w="3324"/>
            <w:vAlign w:val="top"/>
          </w:tcPr>
          <w:p>
            <w:r/>
            <w:r>
              <w:rPr>
                <w:rFonts w:ascii="Calibri" w:hAnsi="Calibri"/>
                <w:b w:val="0"/>
                <w:i w:val="0"/>
                <w:color w:val="000000"/>
                <w:sz w:val="18"/>
              </w:rPr>
              <w:t>USPTO Patents</w:t>
            </w:r>
          </w:p>
        </w:tc>
        <w:tc>
          <w:tcPr>
            <w:tcW w:type="dxa" w:w="3324"/>
            <w:vAlign w:val="top"/>
          </w:tcPr>
          <w:p>
            <w:r/>
            <w:r>
              <w:rPr>
                <w:rFonts w:ascii="Calibri" w:hAnsi="Calibri"/>
                <w:b w:val="0"/>
                <w:i w:val="0"/>
                <w:color w:val="000000"/>
                <w:sz w:val="18"/>
              </w:rPr>
              <w:t>Loaded</w:t>
            </w:r>
          </w:p>
        </w:tc>
        <w:tc>
          <w:tcPr>
            <w:tcW w:type="dxa" w:w="3324"/>
            <w:vAlign w:val="top"/>
          </w:tcPr>
          <w:p>
            <w:r/>
            <w:r>
              <w:rPr>
                <w:rFonts w:ascii="Calibri" w:hAnsi="Calibri"/>
                <w:b w:val="0"/>
                <w:i w:val="0"/>
                <w:color w:val="000000"/>
                <w:sz w:val="18"/>
              </w:rPr>
              <w:t>Patent records, filing dates, assignees</w:t>
            </w:r>
          </w:p>
        </w:tc>
      </w:tr>
      <w:tr>
        <w:tc>
          <w:tcPr>
            <w:tcW w:type="dxa" w:w="3324"/>
            <w:vAlign w:val="top"/>
          </w:tcPr>
          <w:p>
            <w:r/>
            <w:r>
              <w:rPr>
                <w:rFonts w:ascii="Calibri" w:hAnsi="Calibri"/>
                <w:b w:val="0"/>
                <w:i w:val="0"/>
                <w:color w:val="000000"/>
                <w:sz w:val="18"/>
              </w:rPr>
              <w:t>PubMed</w:t>
            </w:r>
          </w:p>
        </w:tc>
        <w:tc>
          <w:tcPr>
            <w:tcW w:type="dxa" w:w="3324"/>
            <w:vAlign w:val="top"/>
          </w:tcPr>
          <w:p>
            <w:r/>
            <w:r>
              <w:rPr>
                <w:rFonts w:ascii="Calibri" w:hAnsi="Calibri"/>
                <w:b w:val="0"/>
                <w:i w:val="0"/>
                <w:color w:val="000000"/>
                <w:sz w:val="18"/>
              </w:rPr>
              <w:t>Loaded</w:t>
            </w:r>
          </w:p>
        </w:tc>
        <w:tc>
          <w:tcPr>
            <w:tcW w:type="dxa" w:w="3324"/>
            <w:vAlign w:val="top"/>
          </w:tcPr>
          <w:p>
            <w:r/>
            <w:r>
              <w:rPr>
                <w:rFonts w:ascii="Calibri" w:hAnsi="Calibri"/>
                <w:b w:val="0"/>
                <w:i w:val="0"/>
                <w:color w:val="000000"/>
                <w:sz w:val="18"/>
              </w:rPr>
              <w:t>Journal articles, abstracts, citations</w:t>
            </w:r>
          </w:p>
        </w:tc>
      </w:tr>
      <w:tr>
        <w:tc>
          <w:tcPr>
            <w:tcW w:type="dxa" w:w="3324"/>
            <w:vAlign w:val="top"/>
          </w:tcPr>
          <w:p>
            <w:r/>
            <w:r>
              <w:rPr>
                <w:rFonts w:ascii="Calibri" w:hAnsi="Calibri"/>
                <w:b w:val="0"/>
                <w:i w:val="0"/>
                <w:color w:val="000000"/>
                <w:sz w:val="18"/>
              </w:rPr>
              <w:t>ClinicalTrials.gov</w:t>
            </w:r>
          </w:p>
        </w:tc>
        <w:tc>
          <w:tcPr>
            <w:tcW w:type="dxa" w:w="3324"/>
            <w:vAlign w:val="top"/>
          </w:tcPr>
          <w:p>
            <w:r/>
            <w:r>
              <w:rPr>
                <w:rFonts w:ascii="Calibri" w:hAnsi="Calibri"/>
                <w:b w:val="0"/>
                <w:i w:val="0"/>
                <w:color w:val="000000"/>
                <w:sz w:val="18"/>
              </w:rPr>
              <w:t>Loaded</w:t>
            </w:r>
          </w:p>
        </w:tc>
        <w:tc>
          <w:tcPr>
            <w:tcW w:type="dxa" w:w="3324"/>
            <w:vAlign w:val="top"/>
          </w:tcPr>
          <w:p>
            <w:r/>
            <w:r>
              <w:rPr>
                <w:rFonts w:ascii="Calibri" w:hAnsi="Calibri"/>
                <w:b w:val="0"/>
                <w:i w:val="0"/>
                <w:color w:val="000000"/>
                <w:sz w:val="18"/>
              </w:rPr>
              <w:t>Trial records, phases, sponsors</w:t>
            </w:r>
          </w:p>
        </w:tc>
      </w:tr>
      <w:tr>
        <w:tc>
          <w:tcPr>
            <w:tcW w:type="dxa" w:w="3324"/>
            <w:vAlign w:val="top"/>
          </w:tcPr>
          <w:p>
            <w:r/>
            <w:r>
              <w:rPr>
                <w:rFonts w:ascii="Calibri" w:hAnsi="Calibri"/>
                <w:b w:val="0"/>
                <w:i w:val="0"/>
                <w:color w:val="000000"/>
                <w:sz w:val="18"/>
              </w:rPr>
              <w:t>Internal CSL data</w:t>
            </w:r>
          </w:p>
        </w:tc>
        <w:tc>
          <w:tcPr>
            <w:tcW w:type="dxa" w:w="3324"/>
            <w:vAlign w:val="top"/>
          </w:tcPr>
          <w:p>
            <w:r/>
            <w:r>
              <w:rPr>
                <w:rFonts w:ascii="Calibri" w:hAnsi="Calibri"/>
                <w:b w:val="0"/>
                <w:i w:val="0"/>
                <w:color w:val="000000"/>
                <w:sz w:val="18"/>
              </w:rPr>
              <w:t>Loaded</w:t>
            </w:r>
          </w:p>
        </w:tc>
        <w:tc>
          <w:tcPr>
            <w:tcW w:type="dxa" w:w="3324"/>
            <w:vAlign w:val="top"/>
          </w:tcPr>
          <w:p>
            <w:r/>
            <w:r>
              <w:rPr>
                <w:rFonts w:ascii="Calibri" w:hAnsi="Calibri"/>
                <w:b w:val="0"/>
                <w:i w:val="0"/>
                <w:color w:val="000000"/>
                <w:sz w:val="18"/>
              </w:rPr>
              <w:t>Proprietary biomedical and deal data</w:t>
            </w:r>
          </w:p>
        </w:tc>
      </w:tr>
      <w:tr>
        <w:tc>
          <w:tcPr>
            <w:tcW w:type="dxa" w:w="3324"/>
            <w:vAlign w:val="top"/>
          </w:tcPr>
          <w:p>
            <w:r/>
            <w:r>
              <w:rPr>
                <w:rFonts w:ascii="Calibri" w:hAnsi="Calibri"/>
                <w:b w:val="0"/>
                <w:i w:val="0"/>
                <w:color w:val="000000"/>
                <w:sz w:val="18"/>
              </w:rPr>
              <w:t>DrugBank</w:t>
            </w:r>
          </w:p>
        </w:tc>
        <w:tc>
          <w:tcPr>
            <w:tcW w:type="dxa" w:w="3324"/>
            <w:vAlign w:val="top"/>
          </w:tcPr>
          <w:p>
            <w:r/>
            <w:r>
              <w:rPr>
                <w:rFonts w:ascii="Calibri" w:hAnsi="Calibri"/>
                <w:b w:val="0"/>
                <w:i w:val="0"/>
                <w:color w:val="000000"/>
                <w:sz w:val="18"/>
              </w:rPr>
              <w:t>Loaded</w:t>
            </w:r>
          </w:p>
        </w:tc>
        <w:tc>
          <w:tcPr>
            <w:tcW w:type="dxa" w:w="3324"/>
            <w:vAlign w:val="top"/>
          </w:tcPr>
          <w:p>
            <w:r/>
            <w:r>
              <w:rPr>
                <w:rFonts w:ascii="Calibri" w:hAnsi="Calibri"/>
                <w:b w:val="0"/>
                <w:i w:val="0"/>
                <w:color w:val="000000"/>
                <w:sz w:val="18"/>
              </w:rPr>
              <w:t>Drug mechanisms, indications, status</w:t>
            </w:r>
          </w:p>
        </w:tc>
      </w:tr>
      <w:tr>
        <w:tc>
          <w:tcPr>
            <w:tcW w:type="dxa" w:w="3324"/>
            <w:vAlign w:val="top"/>
          </w:tcPr>
          <w:p>
            <w:r/>
            <w:r>
              <w:rPr>
                <w:rFonts w:ascii="Calibri" w:hAnsi="Calibri"/>
                <w:b w:val="0"/>
                <w:i w:val="0"/>
                <w:color w:val="000000"/>
                <w:sz w:val="18"/>
              </w:rPr>
              <w:t>Organisation DB</w:t>
            </w:r>
          </w:p>
        </w:tc>
        <w:tc>
          <w:tcPr>
            <w:tcW w:type="dxa" w:w="3324"/>
            <w:vAlign w:val="top"/>
          </w:tcPr>
          <w:p>
            <w:r/>
            <w:r>
              <w:rPr>
                <w:rFonts w:ascii="Calibri" w:hAnsi="Calibri"/>
                <w:b w:val="0"/>
                <w:i w:val="0"/>
                <w:color w:val="000000"/>
                <w:sz w:val="18"/>
              </w:rPr>
              <w:t>Loaded</w:t>
            </w:r>
          </w:p>
        </w:tc>
        <w:tc>
          <w:tcPr>
            <w:tcW w:type="dxa" w:w="3324"/>
            <w:vAlign w:val="top"/>
          </w:tcPr>
          <w:p>
            <w:r/>
            <w:r>
              <w:rPr>
                <w:rFonts w:ascii="Calibri" w:hAnsi="Calibri"/>
                <w:b w:val="0"/>
                <w:i w:val="0"/>
                <w:color w:val="000000"/>
                <w:sz w:val="18"/>
              </w:rPr>
              <w:t>Pharma / biotech company records</w:t>
            </w:r>
          </w:p>
        </w:tc>
      </w:tr>
    </w:tbl>
    <w:p/>
    <w:p>
      <w:pPr>
        <w:spacing w:before="200" w:after="80"/>
        <w:outlineLvl w:val="2"/>
      </w:pPr>
      <w:r>
        <w:rPr>
          <w:rFonts w:ascii="Calibri" w:hAnsi="Calibri"/>
          <w:b/>
          <w:i w:val="0"/>
          <w:color w:val="2E6DA4"/>
          <w:sz w:val="26"/>
        </w:rPr>
        <w:t>3.2  Graph Scale</w:t>
      </w:r>
    </w:p>
    <w:p>
      <w:pPr>
        <w:spacing w:after="120"/>
        <w:jc w:val="both"/>
      </w:pPr>
      <w:r>
        <w:rPr>
          <w:rFonts w:ascii="Calibri" w:hAnsi="Calibri"/>
          <w:b w:val="0"/>
          <w:i w:val="0"/>
          <w:color w:val="000000"/>
          <w:sz w:val="21"/>
        </w:rPr>
        <w:t>The Eugene knowledge graph contains approximately 484,000 nodes organised across nine principal labels and approximately 21 million typed, directed edges. Memory is tuned per environment, with production running 16 GB pagecache and 4–8 GB heap on dedicated EC2.</w:t>
      </w:r>
    </w:p>
    <w:tbl>
      <w:tblPr>
        <w:tblStyle w:val="LightGrid-Accent1"/>
        <w:tblW w:type="auto" w:w="0"/>
        <w:jc w:val="center"/>
        <w:tblLook w:firstColumn="1" w:firstRow="1" w:lastColumn="0" w:lastRow="0" w:noHBand="0" w:noVBand="1" w:val="04A0"/>
      </w:tblPr>
      <w:tblGrid>
        <w:gridCol w:w="3324"/>
        <w:gridCol w:w="3324"/>
        <w:gridCol w:w="3324"/>
      </w:tblGrid>
      <w:tr>
        <w:tc>
          <w:tcPr>
            <w:tcW w:type="dxa" w:w="3324"/>
            <w:shd w:val="clear" w:color="auto" w:fill="1B3A6B"/>
            <w:vAlign w:val="top"/>
          </w:tcPr>
          <w:p>
            <w:r/>
            <w:r>
              <w:rPr>
                <w:rFonts w:ascii="Calibri" w:hAnsi="Calibri"/>
                <w:b/>
                <w:i w:val="0"/>
                <w:color w:val="FFFFFF"/>
                <w:sz w:val="18"/>
              </w:rPr>
              <w:t>Node Label</w:t>
            </w:r>
          </w:p>
        </w:tc>
        <w:tc>
          <w:tcPr>
            <w:tcW w:type="dxa" w:w="3324"/>
            <w:shd w:val="clear" w:color="auto" w:fill="1B3A6B"/>
            <w:vAlign w:val="top"/>
          </w:tcPr>
          <w:p>
            <w:r/>
            <w:r>
              <w:rPr>
                <w:rFonts w:ascii="Calibri" w:hAnsi="Calibri"/>
                <w:b/>
                <w:i w:val="0"/>
                <w:color w:val="FFFFFF"/>
                <w:sz w:val="18"/>
              </w:rPr>
              <w:t>Approx. Count</w:t>
            </w:r>
          </w:p>
        </w:tc>
        <w:tc>
          <w:tcPr>
            <w:tcW w:type="dxa" w:w="3324"/>
            <w:shd w:val="clear" w:color="auto" w:fill="1B3A6B"/>
            <w:vAlign w:val="top"/>
          </w:tcPr>
          <w:p>
            <w:r/>
            <w:r>
              <w:rPr>
                <w:rFonts w:ascii="Calibri" w:hAnsi="Calibri"/>
                <w:b/>
                <w:i w:val="0"/>
                <w:color w:val="FFFFFF"/>
                <w:sz w:val="18"/>
              </w:rPr>
              <w:t>Key Properties</w:t>
            </w:r>
          </w:p>
        </w:tc>
      </w:tr>
      <w:tr>
        <w:tc>
          <w:tcPr>
            <w:tcW w:type="dxa" w:w="3324"/>
            <w:vAlign w:val="top"/>
          </w:tcPr>
          <w:p>
            <w:r/>
            <w:r>
              <w:rPr>
                <w:rFonts w:ascii="Calibri" w:hAnsi="Calibri"/>
                <w:b w:val="0"/>
                <w:i w:val="0"/>
                <w:color w:val="000000"/>
                <w:sz w:val="18"/>
              </w:rPr>
              <w:t>Drug</w:t>
            </w:r>
          </w:p>
        </w:tc>
        <w:tc>
          <w:tcPr>
            <w:tcW w:type="dxa" w:w="3324"/>
            <w:vAlign w:val="top"/>
          </w:tcPr>
          <w:p>
            <w:r/>
            <w:r>
              <w:rPr>
                <w:rFonts w:ascii="Calibri" w:hAnsi="Calibri"/>
                <w:b w:val="0"/>
                <w:i w:val="0"/>
                <w:color w:val="000000"/>
                <w:sz w:val="18"/>
              </w:rPr>
              <w:t>4.6 k</w:t>
            </w:r>
          </w:p>
        </w:tc>
        <w:tc>
          <w:tcPr>
            <w:tcW w:type="dxa" w:w="3324"/>
            <w:vAlign w:val="top"/>
          </w:tcPr>
          <w:p>
            <w:r/>
            <w:r>
              <w:rPr>
                <w:rFonts w:ascii="Calibri" w:hAnsi="Calibri"/>
                <w:b w:val="0"/>
                <w:i w:val="0"/>
                <w:color w:val="000000"/>
                <w:sz w:val="18"/>
              </w:rPr>
              <w:t>node_id, name, mechanism_of_action, status, aliases</w:t>
            </w:r>
          </w:p>
        </w:tc>
      </w:tr>
      <w:tr>
        <w:tc>
          <w:tcPr>
            <w:tcW w:type="dxa" w:w="3324"/>
            <w:vAlign w:val="top"/>
          </w:tcPr>
          <w:p>
            <w:r/>
            <w:r>
              <w:rPr>
                <w:rFonts w:ascii="Calibri" w:hAnsi="Calibri"/>
                <w:b w:val="0"/>
                <w:i w:val="0"/>
                <w:color w:val="000000"/>
                <w:sz w:val="18"/>
              </w:rPr>
              <w:t>Disease</w:t>
            </w:r>
          </w:p>
        </w:tc>
        <w:tc>
          <w:tcPr>
            <w:tcW w:type="dxa" w:w="3324"/>
            <w:vAlign w:val="top"/>
          </w:tcPr>
          <w:p>
            <w:r/>
            <w:r>
              <w:rPr>
                <w:rFonts w:ascii="Calibri" w:hAnsi="Calibri"/>
                <w:b w:val="0"/>
                <w:i w:val="0"/>
                <w:color w:val="000000"/>
                <w:sz w:val="18"/>
              </w:rPr>
              <w:t>17.1 k</w:t>
            </w:r>
          </w:p>
        </w:tc>
        <w:tc>
          <w:tcPr>
            <w:tcW w:type="dxa" w:w="3324"/>
            <w:vAlign w:val="top"/>
          </w:tcPr>
          <w:p>
            <w:r/>
            <w:r>
              <w:rPr>
                <w:rFonts w:ascii="Calibri" w:hAnsi="Calibri"/>
                <w:b w:val="0"/>
                <w:i w:val="0"/>
                <w:color w:val="000000"/>
                <w:sz w:val="18"/>
              </w:rPr>
              <w:t>node_id, name, icd_code, mesh_id, synonyms</w:t>
            </w:r>
          </w:p>
        </w:tc>
      </w:tr>
      <w:tr>
        <w:tc>
          <w:tcPr>
            <w:tcW w:type="dxa" w:w="3324"/>
            <w:vAlign w:val="top"/>
          </w:tcPr>
          <w:p>
            <w:r/>
            <w:r>
              <w:rPr>
                <w:rFonts w:ascii="Calibri" w:hAnsi="Calibri"/>
                <w:b w:val="0"/>
                <w:i w:val="0"/>
                <w:color w:val="000000"/>
                <w:sz w:val="18"/>
              </w:rPr>
              <w:t>GeneProtein</w:t>
            </w:r>
          </w:p>
        </w:tc>
        <w:tc>
          <w:tcPr>
            <w:tcW w:type="dxa" w:w="3324"/>
            <w:vAlign w:val="top"/>
          </w:tcPr>
          <w:p>
            <w:r/>
            <w:r>
              <w:rPr>
                <w:rFonts w:ascii="Calibri" w:hAnsi="Calibri"/>
                <w:b w:val="0"/>
                <w:i w:val="0"/>
                <w:color w:val="000000"/>
                <w:sz w:val="18"/>
              </w:rPr>
              <w:t>27.7 k</w:t>
            </w:r>
          </w:p>
        </w:tc>
        <w:tc>
          <w:tcPr>
            <w:tcW w:type="dxa" w:w="3324"/>
            <w:vAlign w:val="top"/>
          </w:tcPr>
          <w:p>
            <w:r/>
            <w:r>
              <w:rPr>
                <w:rFonts w:ascii="Calibri" w:hAnsi="Calibri"/>
                <w:b w:val="0"/>
                <w:i w:val="0"/>
                <w:color w:val="000000"/>
                <w:sz w:val="18"/>
              </w:rPr>
              <w:t>node_id, name, hgnc_id, entrez_id, symbol</w:t>
            </w:r>
          </w:p>
        </w:tc>
      </w:tr>
      <w:tr>
        <w:tc>
          <w:tcPr>
            <w:tcW w:type="dxa" w:w="3324"/>
            <w:vAlign w:val="top"/>
          </w:tcPr>
          <w:p>
            <w:r/>
            <w:r>
              <w:rPr>
                <w:rFonts w:ascii="Calibri" w:hAnsi="Calibri"/>
                <w:b w:val="0"/>
                <w:i w:val="0"/>
                <w:color w:val="000000"/>
                <w:sz w:val="18"/>
              </w:rPr>
              <w:t>ClinicalTrial</w:t>
            </w:r>
          </w:p>
        </w:tc>
        <w:tc>
          <w:tcPr>
            <w:tcW w:type="dxa" w:w="3324"/>
            <w:vAlign w:val="top"/>
          </w:tcPr>
          <w:p>
            <w:r/>
            <w:r>
              <w:rPr>
                <w:rFonts w:ascii="Calibri" w:hAnsi="Calibri"/>
                <w:b w:val="0"/>
                <w:i w:val="0"/>
                <w:color w:val="000000"/>
                <w:sz w:val="18"/>
              </w:rPr>
              <w:t>49.3 k</w:t>
            </w:r>
          </w:p>
        </w:tc>
        <w:tc>
          <w:tcPr>
            <w:tcW w:type="dxa" w:w="3324"/>
            <w:vAlign w:val="top"/>
          </w:tcPr>
          <w:p>
            <w:r/>
            <w:r>
              <w:rPr>
                <w:rFonts w:ascii="Calibri" w:hAnsi="Calibri"/>
                <w:b w:val="0"/>
                <w:i w:val="0"/>
                <w:color w:val="000000"/>
                <w:sz w:val="18"/>
              </w:rPr>
              <w:t>node_id, nct_id, title, phase, status, sponsor</w:t>
            </w:r>
          </w:p>
        </w:tc>
      </w:tr>
      <w:tr>
        <w:tc>
          <w:tcPr>
            <w:tcW w:type="dxa" w:w="3324"/>
            <w:vAlign w:val="top"/>
          </w:tcPr>
          <w:p>
            <w:r/>
            <w:r>
              <w:rPr>
                <w:rFonts w:ascii="Calibri" w:hAnsi="Calibri"/>
                <w:b w:val="0"/>
                <w:i w:val="0"/>
                <w:color w:val="000000"/>
                <w:sz w:val="18"/>
              </w:rPr>
              <w:t>Patent</w:t>
            </w:r>
          </w:p>
        </w:tc>
        <w:tc>
          <w:tcPr>
            <w:tcW w:type="dxa" w:w="3324"/>
            <w:vAlign w:val="top"/>
          </w:tcPr>
          <w:p>
            <w:r/>
            <w:r>
              <w:rPr>
                <w:rFonts w:ascii="Calibri" w:hAnsi="Calibri"/>
                <w:b w:val="0"/>
                <w:i w:val="0"/>
                <w:color w:val="000000"/>
                <w:sz w:val="18"/>
              </w:rPr>
              <w:t>50 k +</w:t>
            </w:r>
          </w:p>
        </w:tc>
        <w:tc>
          <w:tcPr>
            <w:tcW w:type="dxa" w:w="3324"/>
            <w:vAlign w:val="top"/>
          </w:tcPr>
          <w:p>
            <w:r/>
            <w:r>
              <w:rPr>
                <w:rFonts w:ascii="Calibri" w:hAnsi="Calibri"/>
                <w:b w:val="0"/>
                <w:i w:val="0"/>
                <w:color w:val="000000"/>
                <w:sz w:val="18"/>
              </w:rPr>
              <w:t>patent_id, title, filing_date, grant_date, assignee</w:t>
            </w:r>
          </w:p>
        </w:tc>
      </w:tr>
      <w:tr>
        <w:tc>
          <w:tcPr>
            <w:tcW w:type="dxa" w:w="3324"/>
            <w:vAlign w:val="top"/>
          </w:tcPr>
          <w:p>
            <w:r/>
            <w:r>
              <w:rPr>
                <w:rFonts w:ascii="Calibri" w:hAnsi="Calibri"/>
                <w:b w:val="0"/>
                <w:i w:val="0"/>
                <w:color w:val="000000"/>
                <w:sz w:val="18"/>
              </w:rPr>
              <w:t>Organization</w:t>
            </w:r>
          </w:p>
        </w:tc>
        <w:tc>
          <w:tcPr>
            <w:tcW w:type="dxa" w:w="3324"/>
            <w:vAlign w:val="top"/>
          </w:tcPr>
          <w:p>
            <w:r/>
            <w:r>
              <w:rPr>
                <w:rFonts w:ascii="Calibri" w:hAnsi="Calibri"/>
                <w:b w:val="0"/>
                <w:i w:val="0"/>
                <w:color w:val="000000"/>
                <w:sz w:val="18"/>
              </w:rPr>
              <w:t>26.1 k</w:t>
            </w:r>
          </w:p>
        </w:tc>
        <w:tc>
          <w:tcPr>
            <w:tcW w:type="dxa" w:w="3324"/>
            <w:vAlign w:val="top"/>
          </w:tcPr>
          <w:p>
            <w:r/>
            <w:r>
              <w:rPr>
                <w:rFonts w:ascii="Calibri" w:hAnsi="Calibri"/>
                <w:b w:val="0"/>
                <w:i w:val="0"/>
                <w:color w:val="000000"/>
                <w:sz w:val="18"/>
              </w:rPr>
              <w:t>node_id, name, hq_country, org_type, aliases</w:t>
            </w:r>
          </w:p>
        </w:tc>
      </w:tr>
      <w:tr>
        <w:tc>
          <w:tcPr>
            <w:tcW w:type="dxa" w:w="3324"/>
            <w:vAlign w:val="top"/>
          </w:tcPr>
          <w:p>
            <w:r/>
            <w:r>
              <w:rPr>
                <w:rFonts w:ascii="Calibri" w:hAnsi="Calibri"/>
                <w:b w:val="0"/>
                <w:i w:val="0"/>
                <w:color w:val="000000"/>
                <w:sz w:val="18"/>
              </w:rPr>
              <w:t>Publication</w:t>
            </w:r>
          </w:p>
        </w:tc>
        <w:tc>
          <w:tcPr>
            <w:tcW w:type="dxa" w:w="3324"/>
            <w:vAlign w:val="top"/>
          </w:tcPr>
          <w:p>
            <w:r/>
            <w:r>
              <w:rPr>
                <w:rFonts w:ascii="Calibri" w:hAnsi="Calibri"/>
                <w:b w:val="0"/>
                <w:i w:val="0"/>
                <w:color w:val="000000"/>
                <w:sz w:val="18"/>
              </w:rPr>
              <w:t>100 k +</w:t>
            </w:r>
          </w:p>
        </w:tc>
        <w:tc>
          <w:tcPr>
            <w:tcW w:type="dxa" w:w="3324"/>
            <w:vAlign w:val="top"/>
          </w:tcPr>
          <w:p>
            <w:r/>
            <w:r>
              <w:rPr>
                <w:rFonts w:ascii="Calibri" w:hAnsi="Calibri"/>
                <w:b w:val="0"/>
                <w:i w:val="0"/>
                <w:color w:val="000000"/>
                <w:sz w:val="18"/>
              </w:rPr>
              <w:t>node_id, pmid, title, journal, publication_date</w:t>
            </w:r>
          </w:p>
        </w:tc>
      </w:tr>
      <w:tr>
        <w:tc>
          <w:tcPr>
            <w:tcW w:type="dxa" w:w="3324"/>
            <w:vAlign w:val="top"/>
          </w:tcPr>
          <w:p>
            <w:r/>
            <w:r>
              <w:rPr>
                <w:rFonts w:ascii="Calibri" w:hAnsi="Calibri"/>
                <w:b w:val="0"/>
                <w:i w:val="0"/>
                <w:color w:val="000000"/>
                <w:sz w:val="18"/>
              </w:rPr>
              <w:t>Annotation</w:t>
            </w:r>
          </w:p>
        </w:tc>
        <w:tc>
          <w:tcPr>
            <w:tcW w:type="dxa" w:w="3324"/>
            <w:vAlign w:val="top"/>
          </w:tcPr>
          <w:p>
            <w:r/>
            <w:r>
              <w:rPr>
                <w:rFonts w:ascii="Calibri" w:hAnsi="Calibri"/>
                <w:b w:val="0"/>
                <w:i w:val="0"/>
                <w:color w:val="000000"/>
                <w:sz w:val="18"/>
              </w:rPr>
              <w:t>—</w:t>
            </w:r>
          </w:p>
        </w:tc>
        <w:tc>
          <w:tcPr>
            <w:tcW w:type="dxa" w:w="3324"/>
            <w:vAlign w:val="top"/>
          </w:tcPr>
          <w:p>
            <w:r/>
            <w:r>
              <w:rPr>
                <w:rFonts w:ascii="Calibri" w:hAnsi="Calibri"/>
                <w:b w:val="0"/>
                <w:i w:val="0"/>
                <w:color w:val="000000"/>
                <w:sz w:val="18"/>
              </w:rPr>
              <w:t>source, text_span, confidence</w:t>
            </w:r>
          </w:p>
        </w:tc>
      </w:tr>
      <w:tr>
        <w:tc>
          <w:tcPr>
            <w:tcW w:type="dxa" w:w="3324"/>
            <w:vAlign w:val="top"/>
          </w:tcPr>
          <w:p>
            <w:r/>
            <w:r>
              <w:rPr>
                <w:rFonts w:ascii="Calibri" w:hAnsi="Calibri"/>
                <w:b w:val="0"/>
                <w:i w:val="0"/>
                <w:color w:val="000000"/>
                <w:sz w:val="18"/>
              </w:rPr>
              <w:t>Therapeutic Area</w:t>
            </w:r>
          </w:p>
        </w:tc>
        <w:tc>
          <w:tcPr>
            <w:tcW w:type="dxa" w:w="3324"/>
            <w:vAlign w:val="top"/>
          </w:tcPr>
          <w:p>
            <w:r/>
            <w:r>
              <w:rPr>
                <w:rFonts w:ascii="Calibri" w:hAnsi="Calibri"/>
                <w:b w:val="0"/>
                <w:i w:val="0"/>
                <w:color w:val="000000"/>
                <w:sz w:val="18"/>
              </w:rPr>
              <w:t>~ 500</w:t>
            </w:r>
          </w:p>
        </w:tc>
        <w:tc>
          <w:tcPr>
            <w:tcW w:type="dxa" w:w="3324"/>
            <w:vAlign w:val="top"/>
          </w:tcPr>
          <w:p>
            <w:r/>
            <w:r>
              <w:rPr>
                <w:rFonts w:ascii="Calibri" w:hAnsi="Calibri"/>
                <w:b w:val="0"/>
                <w:i w:val="0"/>
                <w:color w:val="000000"/>
                <w:sz w:val="18"/>
              </w:rPr>
              <w:t>node_id, name</w:t>
            </w:r>
          </w:p>
        </w:tc>
      </w:tr>
    </w:tbl>
    <w:p/>
    <w:p>
      <w:pPr>
        <w:spacing w:before="200" w:after="80"/>
        <w:outlineLvl w:val="2"/>
      </w:pPr>
      <w:r>
        <w:rPr>
          <w:rFonts w:ascii="Calibri" w:hAnsi="Calibri"/>
          <w:b/>
          <w:i w:val="0"/>
          <w:color w:val="2E6DA4"/>
          <w:sz w:val="26"/>
        </w:rPr>
        <w:t>3.3  Capability Inventory</w:t>
      </w:r>
    </w:p>
    <w:p>
      <w:pPr>
        <w:pStyle w:val="ListBullet"/>
        <w:spacing w:after="40"/>
      </w:pPr>
      <w:r>
        <w:rPr>
          <w:rFonts w:ascii="Calibri" w:hAnsi="Calibri"/>
          <w:b w:val="0"/>
          <w:i w:val="0"/>
          <w:sz w:val="21"/>
        </w:rPr>
        <w:t>Twenty REST endpoints covering identity, foundation queries, drug/disease/patent/PubMed/organisation domains, similarity, and stats.</w:t>
      </w:r>
    </w:p>
    <w:p>
      <w:pPr>
        <w:pStyle w:val="ListBullet"/>
        <w:spacing w:after="40"/>
      </w:pPr>
      <w:r>
        <w:rPr>
          <w:rFonts w:ascii="Calibri" w:hAnsi="Calibri"/>
          <w:b w:val="0"/>
          <w:i w:val="0"/>
          <w:sz w:val="21"/>
        </w:rPr>
        <w:t>Twelve MCP tools mediating the agent's access to the API: fetch_identity, fetch_by_label, fetch_similar, lookup_node_by_value, fetch_node_details, fetch_drug_aliases, fetch_facts, fetch_node_relationships, fetch_paths, has_reachable_path, find_organization_names, find_organization_assets.</w:t>
      </w:r>
    </w:p>
    <w:p>
      <w:pPr>
        <w:pStyle w:val="ListBullet"/>
        <w:spacing w:after="40"/>
      </w:pPr>
      <w:r>
        <w:rPr>
          <w:rFonts w:ascii="Calibri" w:hAnsi="Calibri"/>
          <w:b w:val="0"/>
          <w:i w:val="0"/>
          <w:sz w:val="21"/>
        </w:rPr>
        <w:t>Two-hop graph traversal with hard-cap (MAX_SUPPORTED_HOPS=2) to prevent fan-out.</w:t>
      </w:r>
    </w:p>
    <w:p>
      <w:pPr>
        <w:pStyle w:val="ListBullet"/>
        <w:spacing w:after="40"/>
      </w:pPr>
      <w:r>
        <w:rPr>
          <w:rFonts w:ascii="Calibri" w:hAnsi="Calibri"/>
          <w:b w:val="0"/>
          <w:i w:val="0"/>
          <w:sz w:val="21"/>
        </w:rPr>
        <w:t>Token-by-token streaming via Server-Sent Events for ChatGPT-class user experience.</w:t>
      </w:r>
    </w:p>
    <w:p>
      <w:pPr>
        <w:pStyle w:val="ListBullet"/>
        <w:spacing w:after="40"/>
      </w:pPr>
      <w:r>
        <w:rPr>
          <w:rFonts w:ascii="Calibri" w:hAnsi="Calibri"/>
          <w:b w:val="0"/>
          <w:i w:val="0"/>
          <w:sz w:val="21"/>
        </w:rPr>
        <w:t>Dual-LLM provider auto-detect (OpenAI GPT-4.1 and Anthropic Claude Sonnet) with one-environment-variable swap.</w:t>
      </w:r>
    </w:p>
    <w:p>
      <w:pPr>
        <w:pStyle w:val="ListBullet"/>
        <w:spacing w:after="40"/>
      </w:pPr>
      <w:r>
        <w:rPr>
          <w:rFonts w:ascii="Calibri" w:hAnsi="Calibri"/>
          <w:b w:val="0"/>
          <w:i w:val="0"/>
          <w:sz w:val="21"/>
        </w:rPr>
        <w:t>Microsoft Entra ID single sign-on plus Eugene-issued HS256 JWT for service-to-service propagation.</w:t>
      </w:r>
    </w:p>
    <w:p>
      <w:r>
        <w:br w:type="page"/>
      </w:r>
    </w:p>
    <w:p>
      <w:pPr>
        <w:spacing w:before="360" w:after="240"/>
        <w:outlineLvl w:val="0"/>
      </w:pPr>
      <w:r>
        <w:rPr>
          <w:rFonts w:ascii="Calibri" w:hAnsi="Calibri"/>
          <w:b/>
          <w:i w:val="0"/>
          <w:color w:val="A6192E"/>
          <w:sz w:val="48"/>
        </w:rPr>
        <w:t>Section 3 — Detailed Current-State Architecture</w:t>
      </w:r>
    </w:p>
    <w:p>
      <w:r>
        <w:br w:type="page"/>
      </w:r>
    </w:p>
    <w:p>
      <w:pPr>
        <w:spacing w:before="280" w:after="160"/>
        <w:outlineLvl w:val="1"/>
      </w:pPr>
      <w:r>
        <w:rPr>
          <w:rFonts w:ascii="Calibri" w:hAnsi="Calibri"/>
          <w:b/>
          <w:i w:val="0"/>
          <w:color w:val="1B3A6B"/>
          <w:sz w:val="34"/>
        </w:rPr>
        <w:t>4.  High-Level Architecture</w:t>
      </w:r>
    </w:p>
    <w:p>
      <w:pPr>
        <w:spacing w:before="200" w:after="80"/>
        <w:outlineLvl w:val="2"/>
      </w:pPr>
      <w:r>
        <w:rPr>
          <w:rFonts w:ascii="Calibri" w:hAnsi="Calibri"/>
          <w:b/>
          <w:i w:val="0"/>
          <w:color w:val="2E6DA4"/>
          <w:sz w:val="26"/>
        </w:rPr>
        <w:t>4.1  Five-Service Topology</w:t>
      </w:r>
    </w:p>
    <w:p>
      <w:pPr>
        <w:spacing w:after="120"/>
        <w:jc w:val="both"/>
      </w:pPr>
      <w:r>
        <w:rPr>
          <w:rFonts w:ascii="Calibri" w:hAnsi="Calibri"/>
          <w:b w:val="0"/>
          <w:i w:val="0"/>
          <w:color w:val="000000"/>
          <w:sz w:val="21"/>
        </w:rPr>
        <w:t>Eugene is composed of five running services arranged in a five-tier microservice architecture, following Domain-Driven Design with hexagonal (ports-and-adapters) layering inside the Core API. The diagram below reproduces the canonical architecture from the Developer Guide.</w:t>
      </w:r>
    </w:p>
    <w:p>
      <w:pPr>
        <w:jc w:val="center"/>
      </w:pPr>
      <w:r>
        <w:drawing>
          <wp:inline xmlns:a="http://schemas.openxmlformats.org/drawingml/2006/main" xmlns:pic="http://schemas.openxmlformats.org/drawingml/2006/picture">
            <wp:extent cx="5943600" cy="3633259"/>
            <wp:docPr id="3" name="Picture 3"/>
            <wp:cNvGraphicFramePr>
              <a:graphicFrameLocks noChangeAspect="1"/>
            </wp:cNvGraphicFramePr>
            <a:graphic>
              <a:graphicData uri="http://schemas.openxmlformats.org/drawingml/2006/picture">
                <pic:pic>
                  <pic:nvPicPr>
                    <pic:cNvPr id="0" name="image.png"/>
                    <pic:cNvPicPr/>
                  </pic:nvPicPr>
                  <pic:blipFill>
                    <a:blip r:embed="rId13"/>
                    <a:stretch>
                      <a:fillRect/>
                    </a:stretch>
                  </pic:blipFill>
                  <pic:spPr>
                    <a:xfrm>
                      <a:off x="0" y="0"/>
                      <a:ext cx="5943600" cy="3633259"/>
                    </a:xfrm>
                    <a:prstGeom prst="rect"/>
                  </pic:spPr>
                </pic:pic>
              </a:graphicData>
            </a:graphic>
          </wp:inline>
        </w:drawing>
      </w:r>
    </w:p>
    <w:p>
      <w:pPr>
        <w:spacing w:after="120"/>
        <w:jc w:val="both"/>
      </w:pPr>
      <w:r>
        <w:rPr>
          <w:rFonts w:ascii="Calibri" w:hAnsi="Calibri"/>
          <w:b w:val="0"/>
          <w:i w:val="0"/>
          <w:color w:val="000000"/>
          <w:sz w:val="21"/>
        </w:rPr>
        <w:t>The same architecture is also captured in the developer guide as a Mermaid flowchart, reproduced below verbatim from &lt;font name='Courier'&gt;docs/DEVELOPER_GUIDE.md&lt;/font&gt;:</w:t>
      </w:r>
    </w:p>
    <w:p>
      <w:pPr>
        <w:jc w:val="center"/>
      </w:pPr>
      <w:r>
        <w:drawing>
          <wp:inline xmlns:a="http://schemas.openxmlformats.org/drawingml/2006/main" xmlns:pic="http://schemas.openxmlformats.org/drawingml/2006/picture">
            <wp:extent cx="5852160" cy="849766"/>
            <wp:docPr id="4" name="Picture 4"/>
            <wp:cNvGraphicFramePr>
              <a:graphicFrameLocks noChangeAspect="1"/>
            </wp:cNvGraphicFramePr>
            <a:graphic>
              <a:graphicData uri="http://schemas.openxmlformats.org/drawingml/2006/picture">
                <pic:pic>
                  <pic:nvPicPr>
                    <pic:cNvPr id="0" name="diagram_01.png"/>
                    <pic:cNvPicPr/>
                  </pic:nvPicPr>
                  <pic:blipFill>
                    <a:blip r:embed="rId14"/>
                    <a:stretch>
                      <a:fillRect/>
                    </a:stretch>
                  </pic:blipFill>
                  <pic:spPr>
                    <a:xfrm>
                      <a:off x="0" y="0"/>
                      <a:ext cx="5852160" cy="849766"/>
                    </a:xfrm>
                    <a:prstGeom prst="rect"/>
                  </pic:spPr>
                </pic:pic>
              </a:graphicData>
            </a:graphic>
          </wp:inline>
        </w:drawing>
      </w:r>
    </w:p>
    <w:p>
      <w:pPr>
        <w:spacing w:after="160"/>
        <w:jc w:val="center"/>
      </w:pPr>
      <w:r>
        <w:rPr>
          <w:rFonts w:ascii="Calibri" w:hAnsi="Calibri"/>
          <w:b w:val="0"/>
          <w:i/>
          <w:color w:val="424242"/>
          <w:sz w:val="18"/>
        </w:rPr>
        <w:t>Figure (Mermaid). High-level architecture flowchart, from DEVELOPER_GUIDE.md §2.</w:t>
      </w:r>
    </w:p>
    <w:p>
      <w:pPr>
        <w:spacing w:before="200" w:after="80"/>
        <w:outlineLvl w:val="2"/>
      </w:pPr>
      <w:r>
        <w:rPr>
          <w:rFonts w:ascii="Calibri" w:hAnsi="Calibri"/>
          <w:b/>
          <w:i w:val="0"/>
          <w:color w:val="2E6DA4"/>
          <w:sz w:val="26"/>
        </w:rPr>
        <w:t>4.2  Tier Responsibilities</w:t>
      </w:r>
    </w:p>
    <w:tbl>
      <w:tblPr>
        <w:tblStyle w:val="LightGrid-Accent1"/>
        <w:tblW w:type="auto" w:w="0"/>
        <w:jc w:val="center"/>
        <w:tblLook w:firstColumn="1" w:firstRow="1" w:lastColumn="0" w:lastRow="0" w:noHBand="0" w:noVBand="1" w:val="04A0"/>
      </w:tblPr>
      <w:tblGrid>
        <w:gridCol w:w="3324"/>
        <w:gridCol w:w="3324"/>
        <w:gridCol w:w="3324"/>
      </w:tblGrid>
      <w:tr>
        <w:tc>
          <w:tcPr>
            <w:tcW w:type="dxa" w:w="3324"/>
            <w:shd w:val="clear" w:color="auto" w:fill="1B3A6B"/>
            <w:vAlign w:val="top"/>
          </w:tcPr>
          <w:p>
            <w:r/>
            <w:r>
              <w:rPr>
                <w:rFonts w:ascii="Calibri" w:hAnsi="Calibri"/>
                <w:b/>
                <w:i w:val="0"/>
                <w:color w:val="FFFFFF"/>
                <w:sz w:val="18"/>
              </w:rPr>
              <w:t>Tier</w:t>
            </w:r>
          </w:p>
        </w:tc>
        <w:tc>
          <w:tcPr>
            <w:tcW w:type="dxa" w:w="3324"/>
            <w:shd w:val="clear" w:color="auto" w:fill="1B3A6B"/>
            <w:vAlign w:val="top"/>
          </w:tcPr>
          <w:p>
            <w:r/>
            <w:r>
              <w:rPr>
                <w:rFonts w:ascii="Calibri" w:hAnsi="Calibri"/>
                <w:b/>
                <w:i w:val="0"/>
                <w:color w:val="FFFFFF"/>
                <w:sz w:val="18"/>
              </w:rPr>
              <w:t>Service</w:t>
            </w:r>
          </w:p>
        </w:tc>
        <w:tc>
          <w:tcPr>
            <w:tcW w:type="dxa" w:w="3324"/>
            <w:shd w:val="clear" w:color="auto" w:fill="1B3A6B"/>
            <w:vAlign w:val="top"/>
          </w:tcPr>
          <w:p>
            <w:r/>
            <w:r>
              <w:rPr>
                <w:rFonts w:ascii="Calibri" w:hAnsi="Calibri"/>
                <w:b/>
                <w:i w:val="0"/>
                <w:color w:val="FFFFFF"/>
                <w:sz w:val="18"/>
              </w:rPr>
              <w:t>Responsibility</w:t>
            </w:r>
          </w:p>
        </w:tc>
      </w:tr>
      <w:tr>
        <w:tc>
          <w:tcPr>
            <w:tcW w:type="dxa" w:w="3324"/>
            <w:vAlign w:val="top"/>
          </w:tcPr>
          <w:p>
            <w:r/>
            <w:r>
              <w:rPr>
                <w:rFonts w:ascii="Calibri" w:hAnsi="Calibri"/>
                <w:b w:val="0"/>
                <w:i w:val="0"/>
                <w:color w:val="000000"/>
                <w:sz w:val="18"/>
              </w:rPr>
              <w:t>Presentation</w:t>
            </w:r>
          </w:p>
        </w:tc>
        <w:tc>
          <w:tcPr>
            <w:tcW w:type="dxa" w:w="3324"/>
            <w:vAlign w:val="top"/>
          </w:tcPr>
          <w:p>
            <w:r/>
            <w:r>
              <w:rPr>
                <w:rFonts w:ascii="Calibri" w:hAnsi="Calibri"/>
                <w:b w:val="0"/>
                <w:i w:val="0"/>
                <w:color w:val="000000"/>
                <w:sz w:val="18"/>
              </w:rPr>
              <w:t>eugene-agent-ui</w:t>
            </w:r>
          </w:p>
        </w:tc>
        <w:tc>
          <w:tcPr>
            <w:tcW w:type="dxa" w:w="3324"/>
            <w:vAlign w:val="top"/>
          </w:tcPr>
          <w:p>
            <w:r/>
            <w:r>
              <w:rPr>
                <w:rFonts w:ascii="Calibri" w:hAnsi="Calibri"/>
                <w:b w:val="0"/>
                <w:i w:val="0"/>
                <w:color w:val="000000"/>
                <w:sz w:val="18"/>
              </w:rPr>
              <w:t>User interaction; live token rendering</w:t>
            </w:r>
          </w:p>
        </w:tc>
      </w:tr>
      <w:tr>
        <w:tc>
          <w:tcPr>
            <w:tcW w:type="dxa" w:w="3324"/>
            <w:vAlign w:val="top"/>
          </w:tcPr>
          <w:p>
            <w:r/>
            <w:r>
              <w:rPr>
                <w:rFonts w:ascii="Calibri" w:hAnsi="Calibri"/>
                <w:b w:val="0"/>
                <w:i w:val="0"/>
                <w:color w:val="000000"/>
                <w:sz w:val="18"/>
              </w:rPr>
              <w:t>Agent</w:t>
            </w:r>
          </w:p>
        </w:tc>
        <w:tc>
          <w:tcPr>
            <w:tcW w:type="dxa" w:w="3324"/>
            <w:vAlign w:val="top"/>
          </w:tcPr>
          <w:p>
            <w:r/>
            <w:r>
              <w:rPr>
                <w:rFonts w:ascii="Calibri" w:hAnsi="Calibri"/>
                <w:b w:val="0"/>
                <w:i w:val="0"/>
                <w:color w:val="000000"/>
                <w:sz w:val="18"/>
              </w:rPr>
              <w:t>eugene-agent-ws</w:t>
            </w:r>
          </w:p>
        </w:tc>
        <w:tc>
          <w:tcPr>
            <w:tcW w:type="dxa" w:w="3324"/>
            <w:vAlign w:val="top"/>
          </w:tcPr>
          <w:p>
            <w:r/>
            <w:r>
              <w:rPr>
                <w:rFonts w:ascii="Calibri" w:hAnsi="Calibri"/>
                <w:b w:val="0"/>
                <w:i w:val="0"/>
                <w:color w:val="000000"/>
                <w:sz w:val="18"/>
              </w:rPr>
              <w:t>Reasoning loop; tool selection; LLM inference</w:t>
            </w:r>
          </w:p>
        </w:tc>
      </w:tr>
      <w:tr>
        <w:tc>
          <w:tcPr>
            <w:tcW w:type="dxa" w:w="3324"/>
            <w:vAlign w:val="top"/>
          </w:tcPr>
          <w:p>
            <w:r/>
            <w:r>
              <w:rPr>
                <w:rFonts w:ascii="Calibri" w:hAnsi="Calibri"/>
                <w:b w:val="0"/>
                <w:i w:val="0"/>
                <w:color w:val="000000"/>
                <w:sz w:val="18"/>
              </w:rPr>
              <w:t>Tool / Orchestration</w:t>
            </w:r>
          </w:p>
        </w:tc>
        <w:tc>
          <w:tcPr>
            <w:tcW w:type="dxa" w:w="3324"/>
            <w:vAlign w:val="top"/>
          </w:tcPr>
          <w:p>
            <w:r/>
            <w:r>
              <w:rPr>
                <w:rFonts w:ascii="Calibri" w:hAnsi="Calibri"/>
                <w:b w:val="0"/>
                <w:i w:val="0"/>
                <w:color w:val="000000"/>
                <w:sz w:val="18"/>
              </w:rPr>
              <w:t>eugene-mcp</w:t>
            </w:r>
          </w:p>
        </w:tc>
        <w:tc>
          <w:tcPr>
            <w:tcW w:type="dxa" w:w="3324"/>
            <w:vAlign w:val="top"/>
          </w:tcPr>
          <w:p>
            <w:r/>
            <w:r>
              <w:rPr>
                <w:rFonts w:ascii="Calibri" w:hAnsi="Calibri"/>
                <w:b w:val="0"/>
                <w:i w:val="0"/>
                <w:color w:val="000000"/>
                <w:sz w:val="18"/>
              </w:rPr>
              <w:t>Schema-validated tool surface; JWT enforcement</w:t>
            </w:r>
          </w:p>
        </w:tc>
      </w:tr>
      <w:tr>
        <w:tc>
          <w:tcPr>
            <w:tcW w:type="dxa" w:w="3324"/>
            <w:vAlign w:val="top"/>
          </w:tcPr>
          <w:p>
            <w:r/>
            <w:r>
              <w:rPr>
                <w:rFonts w:ascii="Calibri" w:hAnsi="Calibri"/>
                <w:b w:val="0"/>
                <w:i w:val="0"/>
                <w:color w:val="000000"/>
                <w:sz w:val="18"/>
              </w:rPr>
              <w:t>Data API</w:t>
            </w:r>
          </w:p>
        </w:tc>
        <w:tc>
          <w:tcPr>
            <w:tcW w:type="dxa" w:w="3324"/>
            <w:vAlign w:val="top"/>
          </w:tcPr>
          <w:p>
            <w:r/>
            <w:r>
              <w:rPr>
                <w:rFonts w:ascii="Calibri" w:hAnsi="Calibri"/>
                <w:b w:val="0"/>
                <w:i w:val="0"/>
                <w:color w:val="000000"/>
                <w:sz w:val="18"/>
              </w:rPr>
              <w:t>eugene_ws</w:t>
            </w:r>
          </w:p>
        </w:tc>
        <w:tc>
          <w:tcPr>
            <w:tcW w:type="dxa" w:w="3324"/>
            <w:vAlign w:val="top"/>
          </w:tcPr>
          <w:p>
            <w:r/>
            <w:r>
              <w:rPr>
                <w:rFonts w:ascii="Calibri" w:hAnsi="Calibri"/>
                <w:b w:val="0"/>
                <w:i w:val="0"/>
                <w:color w:val="000000"/>
                <w:sz w:val="18"/>
              </w:rPr>
              <w:t>Canonical graph API; 20 REST endpoints</w:t>
            </w:r>
          </w:p>
        </w:tc>
      </w:tr>
      <w:tr>
        <w:tc>
          <w:tcPr>
            <w:tcW w:type="dxa" w:w="3324"/>
            <w:vAlign w:val="top"/>
          </w:tcPr>
          <w:p>
            <w:r/>
            <w:r>
              <w:rPr>
                <w:rFonts w:ascii="Calibri" w:hAnsi="Calibri"/>
                <w:b w:val="0"/>
                <w:i w:val="0"/>
                <w:color w:val="000000"/>
                <w:sz w:val="18"/>
              </w:rPr>
              <w:t>Persistence</w:t>
            </w:r>
          </w:p>
        </w:tc>
        <w:tc>
          <w:tcPr>
            <w:tcW w:type="dxa" w:w="3324"/>
            <w:vAlign w:val="top"/>
          </w:tcPr>
          <w:p>
            <w:r/>
            <w:r>
              <w:rPr>
                <w:rFonts w:ascii="Calibri" w:hAnsi="Calibri"/>
                <w:b w:val="0"/>
                <w:i w:val="0"/>
                <w:color w:val="000000"/>
                <w:sz w:val="18"/>
              </w:rPr>
              <w:t>Neo4j 5.26 CE + Milvus</w:t>
            </w:r>
          </w:p>
        </w:tc>
        <w:tc>
          <w:tcPr>
            <w:tcW w:type="dxa" w:w="3324"/>
            <w:vAlign w:val="top"/>
          </w:tcPr>
          <w:p>
            <w:r/>
            <w:r>
              <w:rPr>
                <w:rFonts w:ascii="Calibri" w:hAnsi="Calibri"/>
                <w:b w:val="0"/>
                <w:i w:val="0"/>
                <w:color w:val="000000"/>
                <w:sz w:val="18"/>
              </w:rPr>
              <w:t>Graph + vector storage</w:t>
            </w:r>
          </w:p>
        </w:tc>
      </w:tr>
    </w:tbl>
    <w:p/>
    <w:p>
      <w:pPr>
        <w:spacing w:before="200" w:after="80"/>
        <w:outlineLvl w:val="2"/>
      </w:pPr>
      <w:r>
        <w:rPr>
          <w:rFonts w:ascii="Calibri" w:hAnsi="Calibri"/>
          <w:b/>
          <w:i w:val="0"/>
          <w:color w:val="2E6DA4"/>
          <w:sz w:val="26"/>
        </w:rPr>
        <w:t>4.3  Technology Stack</w:t>
      </w:r>
    </w:p>
    <w:p>
      <w:pPr>
        <w:spacing w:after="120"/>
        <w:jc w:val="both"/>
      </w:pPr>
      <w:r>
        <w:rPr>
          <w:rFonts w:ascii="Calibri" w:hAnsi="Calibri"/>
          <w:b w:val="0"/>
          <w:i w:val="0"/>
          <w:color w:val="000000"/>
          <w:sz w:val="21"/>
        </w:rPr>
        <w:t>The Core API itself is organised by biomedical domain into the following router groups, faithful to the Mermaid graph in the developer guide:</w:t>
      </w:r>
    </w:p>
    <w:p>
      <w:pPr>
        <w:jc w:val="center"/>
      </w:pPr>
      <w:r>
        <w:drawing>
          <wp:inline xmlns:a="http://schemas.openxmlformats.org/drawingml/2006/main" xmlns:pic="http://schemas.openxmlformats.org/drawingml/2006/picture">
            <wp:extent cx="5852160" cy="1573876"/>
            <wp:docPr id="5" name="Picture 5"/>
            <wp:cNvGraphicFramePr>
              <a:graphicFrameLocks noChangeAspect="1"/>
            </wp:cNvGraphicFramePr>
            <a:graphic>
              <a:graphicData uri="http://schemas.openxmlformats.org/drawingml/2006/picture">
                <pic:pic>
                  <pic:nvPicPr>
                    <pic:cNvPr id="0" name="diagram_04.png"/>
                    <pic:cNvPicPr/>
                  </pic:nvPicPr>
                  <pic:blipFill>
                    <a:blip r:embed="rId15"/>
                    <a:stretch>
                      <a:fillRect/>
                    </a:stretch>
                  </pic:blipFill>
                  <pic:spPr>
                    <a:xfrm>
                      <a:off x="0" y="0"/>
                      <a:ext cx="5852160" cy="1573876"/>
                    </a:xfrm>
                    <a:prstGeom prst="rect"/>
                  </pic:spPr>
                </pic:pic>
              </a:graphicData>
            </a:graphic>
          </wp:inline>
        </w:drawing>
      </w:r>
    </w:p>
    <w:p>
      <w:pPr>
        <w:spacing w:after="160"/>
        <w:jc w:val="center"/>
      </w:pPr>
      <w:r>
        <w:rPr>
          <w:rFonts w:ascii="Calibri" w:hAnsi="Calibri"/>
          <w:b w:val="0"/>
          <w:i/>
          <w:color w:val="424242"/>
          <w:sz w:val="18"/>
        </w:rPr>
        <w:t>Figure (Mermaid). Core API router groups, from DEVELOPER_GUIDE.md §6.</w:t>
      </w:r>
    </w:p>
    <w:p>
      <w:pPr>
        <w:spacing w:after="120"/>
        <w:jc w:val="both"/>
      </w:pPr>
      <w:r>
        <w:rPr>
          <w:rFonts w:ascii="Calibri" w:hAnsi="Calibri"/>
          <w:b w:val="0"/>
          <w:i w:val="0"/>
          <w:color w:val="000000"/>
          <w:sz w:val="21"/>
        </w:rPr>
        <w:t>The stack is intentionally Python-centric end-to-end (3.12 / 3.13), with FastAPI for HTTP services, Strands for the agent loop, FastMCP for the tool surface, Neo4j 5.26 Community Edition with APOC and GDS for the graph, and Milvus for vector similarity. Containerisation is Docker; orchestration is AWS ECS Fargate; infrastructure is Terraform-managed.</w:t>
      </w:r>
    </w:p>
    <w:p>
      <w:pPr>
        <w:spacing w:before="280" w:after="160"/>
        <w:outlineLvl w:val="1"/>
      </w:pPr>
      <w:r>
        <w:rPr>
          <w:rFonts w:ascii="Calibri" w:hAnsi="Calibri"/>
          <w:b/>
          <w:i w:val="0"/>
          <w:color w:val="1B3A6B"/>
          <w:sz w:val="34"/>
        </w:rPr>
        <w:t>5.  End-to-End Request Flow</w:t>
      </w:r>
    </w:p>
    <w:p>
      <w:pPr>
        <w:spacing w:before="200" w:after="80"/>
        <w:outlineLvl w:val="2"/>
      </w:pPr>
      <w:r>
        <w:rPr>
          <w:rFonts w:ascii="Calibri" w:hAnsi="Calibri"/>
          <w:b/>
          <w:i w:val="0"/>
          <w:color w:val="2E6DA4"/>
          <w:sz w:val="26"/>
        </w:rPr>
        <w:t>5.1  Sequence Walk-through</w:t>
      </w:r>
    </w:p>
    <w:p>
      <w:pPr>
        <w:spacing w:after="120"/>
        <w:jc w:val="both"/>
      </w:pPr>
      <w:r>
        <w:rPr>
          <w:rFonts w:ascii="Calibri" w:hAnsi="Calibri"/>
          <w:b w:val="0"/>
          <w:i w:val="0"/>
          <w:color w:val="000000"/>
          <w:sz w:val="21"/>
        </w:rPr>
        <w:t>When a user submits a question, control flows through every tier of the platform. The diagram below traces the canonical seventeen-step path for the example query "What are the relationships of Hemophilia A?":</w:t>
      </w:r>
    </w:p>
    <w:p>
      <w:pPr>
        <w:jc w:val="center"/>
      </w:pPr>
      <w:r>
        <w:drawing>
          <wp:inline xmlns:a="http://schemas.openxmlformats.org/drawingml/2006/main" xmlns:pic="http://schemas.openxmlformats.org/drawingml/2006/picture">
            <wp:extent cx="5943600" cy="4897817"/>
            <wp:docPr id="6" name="Picture 6"/>
            <wp:cNvGraphicFramePr>
              <a:graphicFrameLocks noChangeAspect="1"/>
            </wp:cNvGraphicFramePr>
            <a:graphic>
              <a:graphicData uri="http://schemas.openxmlformats.org/drawingml/2006/picture">
                <pic:pic>
                  <pic:nvPicPr>
                    <pic:cNvPr id="0" name="image.png"/>
                    <pic:cNvPicPr/>
                  </pic:nvPicPr>
                  <pic:blipFill>
                    <a:blip r:embed="rId16"/>
                    <a:stretch>
                      <a:fillRect/>
                    </a:stretch>
                  </pic:blipFill>
                  <pic:spPr>
                    <a:xfrm>
                      <a:off x="0" y="0"/>
                      <a:ext cx="5943600" cy="4897817"/>
                    </a:xfrm>
                    <a:prstGeom prst="rect"/>
                  </pic:spPr>
                </pic:pic>
              </a:graphicData>
            </a:graphic>
          </wp:inline>
        </w:drawing>
      </w:r>
    </w:p>
    <w:p>
      <w:pPr>
        <w:spacing w:after="120"/>
        <w:jc w:val="both"/>
      </w:pPr>
      <w:r>
        <w:rPr>
          <w:rFonts w:ascii="Calibri" w:hAnsi="Calibri"/>
          <w:b w:val="0"/>
          <w:i w:val="0"/>
          <w:color w:val="000000"/>
          <w:sz w:val="21"/>
        </w:rPr>
        <w:t>The developer guide records the same flow as a UML sequence diagram, showing the layered DDD pipeline inside the Core API (Router → Orchestrator → Provider → Adapter → Neo4j → mappers):</w:t>
      </w:r>
    </w:p>
    <w:p>
      <w:pPr>
        <w:jc w:val="center"/>
      </w:pPr>
      <w:r>
        <w:drawing>
          <wp:inline xmlns:a="http://schemas.openxmlformats.org/drawingml/2006/main" xmlns:pic="http://schemas.openxmlformats.org/drawingml/2006/picture">
            <wp:extent cx="5852160" cy="2165004"/>
            <wp:docPr id="7" name="Picture 7"/>
            <wp:cNvGraphicFramePr>
              <a:graphicFrameLocks noChangeAspect="1"/>
            </wp:cNvGraphicFramePr>
            <a:graphic>
              <a:graphicData uri="http://schemas.openxmlformats.org/drawingml/2006/picture">
                <pic:pic>
                  <pic:nvPicPr>
                    <pic:cNvPr id="0" name="diagram_02.png"/>
                    <pic:cNvPicPr/>
                  </pic:nvPicPr>
                  <pic:blipFill>
                    <a:blip r:embed="rId17"/>
                    <a:stretch>
                      <a:fillRect/>
                    </a:stretch>
                  </pic:blipFill>
                  <pic:spPr>
                    <a:xfrm>
                      <a:off x="0" y="0"/>
                      <a:ext cx="5852160" cy="2165004"/>
                    </a:xfrm>
                    <a:prstGeom prst="rect"/>
                  </pic:spPr>
                </pic:pic>
              </a:graphicData>
            </a:graphic>
          </wp:inline>
        </w:drawing>
      </w:r>
    </w:p>
    <w:p>
      <w:pPr>
        <w:spacing w:after="160"/>
        <w:jc w:val="center"/>
      </w:pPr>
      <w:r>
        <w:rPr>
          <w:rFonts w:ascii="Calibri" w:hAnsi="Calibri"/>
          <w:b w:val="0"/>
          <w:i/>
          <w:color w:val="424242"/>
          <w:sz w:val="18"/>
        </w:rPr>
        <w:t>Figure (Mermaid). Request sequence for &lt;i&gt;GET /graph/facts/start/{id}&lt;/i&gt;, from DEVELOPER_GUIDE.md §4.</w:t>
      </w:r>
    </w:p>
    <w:p>
      <w:pPr>
        <w:spacing w:before="200" w:after="80"/>
        <w:outlineLvl w:val="2"/>
      </w:pPr>
      <w:r>
        <w:rPr>
          <w:rFonts w:ascii="Calibri" w:hAnsi="Calibri"/>
          <w:b/>
          <w:i w:val="0"/>
          <w:color w:val="2E6DA4"/>
          <w:sz w:val="26"/>
        </w:rPr>
        <w:t>5.2  ReAct Loop Inside the Agent</w:t>
      </w:r>
    </w:p>
    <w:p>
      <w:pPr>
        <w:spacing w:after="120"/>
        <w:jc w:val="both"/>
      </w:pPr>
      <w:r>
        <w:rPr>
          <w:rFonts w:ascii="Calibri" w:hAnsi="Calibri"/>
          <w:b w:val="0"/>
          <w:i w:val="0"/>
          <w:color w:val="000000"/>
          <w:sz w:val="21"/>
        </w:rPr>
        <w:t>Inside the Agent Backend, the Strands framework drives a ReAct loop: the LLM reasons (Think), invokes an MCP tool (Act), receives a structured result (Observe), and repeats until it has sufficient evidence or its tool budget is exhausted, at which point it synthesises a streaming answer.</w:t>
      </w:r>
    </w:p>
    <w:p>
      <w:pPr>
        <w:spacing w:after="120"/>
        <w:jc w:val="both"/>
      </w:pPr>
      <w:r>
        <w:rPr>
          <w:rFonts w:ascii="Calibri" w:hAnsi="Calibri"/>
          <w:b w:val="0"/>
          <w:i w:val="0"/>
          <w:color w:val="000000"/>
          <w:sz w:val="21"/>
        </w:rPr>
        <w:t>The developer guide expands the same loop into a per-tool flowchart showing how the agent reasons, calls an MCP tool, returns to reason, and ultimately streams the final answer back to the UI:</w:t>
      </w:r>
    </w:p>
    <w:p>
      <w:pPr>
        <w:jc w:val="center"/>
      </w:pPr>
      <w:r>
        <w:drawing>
          <wp:inline xmlns:a="http://schemas.openxmlformats.org/drawingml/2006/main" xmlns:pic="http://schemas.openxmlformats.org/drawingml/2006/picture">
            <wp:extent cx="5852160" cy="4396509"/>
            <wp:docPr id="8" name="Picture 8"/>
            <wp:cNvGraphicFramePr>
              <a:graphicFrameLocks noChangeAspect="1"/>
            </wp:cNvGraphicFramePr>
            <a:graphic>
              <a:graphicData uri="http://schemas.openxmlformats.org/drawingml/2006/picture">
                <pic:pic>
                  <pic:nvPicPr>
                    <pic:cNvPr id="0" name="diagram_05.png"/>
                    <pic:cNvPicPr/>
                  </pic:nvPicPr>
                  <pic:blipFill>
                    <a:blip r:embed="rId18"/>
                    <a:stretch>
                      <a:fillRect/>
                    </a:stretch>
                  </pic:blipFill>
                  <pic:spPr>
                    <a:xfrm>
                      <a:off x="0" y="0"/>
                      <a:ext cx="5852160" cy="4396509"/>
                    </a:xfrm>
                    <a:prstGeom prst="rect"/>
                  </pic:spPr>
                </pic:pic>
              </a:graphicData>
            </a:graphic>
          </wp:inline>
        </w:drawing>
      </w:r>
    </w:p>
    <w:p>
      <w:pPr>
        <w:spacing w:after="160"/>
        <w:jc w:val="center"/>
      </w:pPr>
      <w:r>
        <w:rPr>
          <w:rFonts w:ascii="Calibri" w:hAnsi="Calibri"/>
          <w:b w:val="0"/>
          <w:i/>
          <w:color w:val="424242"/>
          <w:sz w:val="18"/>
        </w:rPr>
        <w:t>Figure (Mermaid). Agent layer with Strands ReAct loop, from DEVELOPER_GUIDE.md §7.</w:t>
      </w:r>
    </w:p>
    <w:p>
      <w:pPr>
        <w:spacing w:before="280" w:after="160"/>
        <w:outlineLvl w:val="1"/>
      </w:pPr>
      <w:r>
        <w:rPr>
          <w:rFonts w:ascii="Calibri" w:hAnsi="Calibri"/>
          <w:b/>
          <w:i w:val="0"/>
          <w:color w:val="1B3A6B"/>
          <w:sz w:val="34"/>
        </w:rPr>
        <w:t>6.  Data Model</w:t>
      </w:r>
    </w:p>
    <w:p>
      <w:pPr>
        <w:spacing w:before="200" w:after="80"/>
        <w:outlineLvl w:val="2"/>
      </w:pPr>
      <w:r>
        <w:rPr>
          <w:rFonts w:ascii="Calibri" w:hAnsi="Calibri"/>
          <w:b/>
          <w:i w:val="0"/>
          <w:color w:val="2E6DA4"/>
          <w:sz w:val="26"/>
        </w:rPr>
        <w:t>6.1  Graph Schema</w:t>
      </w:r>
    </w:p>
    <w:p>
      <w:pPr>
        <w:spacing w:after="120"/>
        <w:jc w:val="both"/>
      </w:pPr>
      <w:r>
        <w:rPr>
          <w:rFonts w:ascii="Calibri" w:hAnsi="Calibri"/>
          <w:b w:val="0"/>
          <w:i w:val="0"/>
          <w:color w:val="000000"/>
          <w:sz w:val="21"/>
        </w:rPr>
        <w:t>The graph carries nine principal node labels — Drug, Disease, GeneProtein, ClinicalTrial, Patent, Organization, Publication, Annotation, and Therapeutic Area. Principal relationship types are TARGETS, INDICATES, ASSOCIATED_WITH, OWNS_PATENT_ON, CONDUCTED_BY, STUDIES, PUBLISHED_IN, SYNONYM_OF, and PARENT_OF. All Cypher queries use parameterised binding; no string interpolation appears anywhere in the source.</w:t>
      </w:r>
    </w:p>
    <w:p>
      <w:pPr>
        <w:spacing w:before="280" w:after="160"/>
        <w:outlineLvl w:val="1"/>
      </w:pPr>
      <w:r>
        <w:rPr>
          <w:rFonts w:ascii="Calibri" w:hAnsi="Calibri"/>
          <w:b/>
          <w:i w:val="0"/>
          <w:color w:val="1B3A6B"/>
          <w:sz w:val="34"/>
        </w:rPr>
        <w:t>7.  Authentication &amp; Authorisation</w:t>
      </w:r>
    </w:p>
    <w:p>
      <w:pPr>
        <w:spacing w:before="200" w:after="80"/>
        <w:outlineLvl w:val="2"/>
      </w:pPr>
      <w:r>
        <w:rPr>
          <w:rFonts w:ascii="Calibri" w:hAnsi="Calibri"/>
          <w:b/>
          <w:i w:val="0"/>
          <w:color w:val="2E6DA4"/>
          <w:sz w:val="26"/>
        </w:rPr>
        <w:t>7.1  Two-Layer Identity Model</w:t>
      </w:r>
    </w:p>
    <w:p>
      <w:pPr>
        <w:spacing w:after="120"/>
        <w:jc w:val="both"/>
      </w:pPr>
      <w:r>
        <w:rPr>
          <w:rFonts w:ascii="Calibri" w:hAnsi="Calibri"/>
          <w:b w:val="0"/>
          <w:i w:val="0"/>
          <w:color w:val="000000"/>
          <w:sz w:val="21"/>
        </w:rPr>
        <w:t>The developer guide describes the same identity flow as a sequence diagram, showing both the local-mode token issue path and the per-request validation path:</w:t>
      </w:r>
    </w:p>
    <w:p>
      <w:pPr>
        <w:jc w:val="center"/>
      </w:pPr>
      <w:r>
        <w:drawing>
          <wp:inline xmlns:a="http://schemas.openxmlformats.org/drawingml/2006/main" xmlns:pic="http://schemas.openxmlformats.org/drawingml/2006/picture">
            <wp:extent cx="5852160" cy="4153146"/>
            <wp:docPr id="9" name="Picture 9"/>
            <wp:cNvGraphicFramePr>
              <a:graphicFrameLocks noChangeAspect="1"/>
            </wp:cNvGraphicFramePr>
            <a:graphic>
              <a:graphicData uri="http://schemas.openxmlformats.org/drawingml/2006/picture">
                <pic:pic>
                  <pic:nvPicPr>
                    <pic:cNvPr id="0" name="diagram_06.png"/>
                    <pic:cNvPicPr/>
                  </pic:nvPicPr>
                  <pic:blipFill>
                    <a:blip r:embed="rId19"/>
                    <a:stretch>
                      <a:fillRect/>
                    </a:stretch>
                  </pic:blipFill>
                  <pic:spPr>
                    <a:xfrm>
                      <a:off x="0" y="0"/>
                      <a:ext cx="5852160" cy="4153146"/>
                    </a:xfrm>
                    <a:prstGeom prst="rect"/>
                  </pic:spPr>
                </pic:pic>
              </a:graphicData>
            </a:graphic>
          </wp:inline>
        </w:drawing>
      </w:r>
    </w:p>
    <w:p>
      <w:pPr>
        <w:spacing w:after="160"/>
        <w:jc w:val="center"/>
      </w:pPr>
      <w:r>
        <w:rPr>
          <w:rFonts w:ascii="Calibri" w:hAnsi="Calibri"/>
          <w:b w:val="0"/>
          <w:i/>
          <w:color w:val="424242"/>
          <w:sz w:val="18"/>
        </w:rPr>
        <w:t>Figure (Mermaid). JWT login and per-request validation, from DEVELOPER_GUIDE.md §11.</w:t>
      </w:r>
    </w:p>
    <w:p>
      <w:pPr>
        <w:spacing w:after="120"/>
        <w:jc w:val="both"/>
      </w:pPr>
      <w:r>
        <w:rPr>
          <w:rFonts w:ascii="Calibri" w:hAnsi="Calibri"/>
          <w:b w:val="0"/>
          <w:i w:val="0"/>
          <w:color w:val="000000"/>
          <w:sz w:val="21"/>
        </w:rPr>
        <w:t>Eugene operates a two-layer identity model. Layer 1 is enterprise SSO via Microsoft Entra ID using OAuth 2.0 Authorization Code flow. Layer 2 is an Eugene-issued HS256 JWT that propagates between services. After Entra ID returns an ID token, the Core API issues an Eugene JWT (24-hour TTL) with claims iss = https://eugene.ai.cslg1.cslg.net/{tenant_id}, aud = api://eugene/{client_id}, sub = user UPN, and roles. The same JWT travels with every request from browser to agent, MCP, and Core API; every tier validates signature, audience, issuer, and expiry.</w:t>
      </w:r>
    </w:p>
    <w:p>
      <w:pPr>
        <w:spacing w:before="200" w:after="80"/>
        <w:outlineLvl w:val="2"/>
      </w:pPr>
      <w:r>
        <w:rPr>
          <w:rFonts w:ascii="Calibri" w:hAnsi="Calibri"/>
          <w:b/>
          <w:i w:val="0"/>
          <w:color w:val="2E6DA4"/>
          <w:sz w:val="26"/>
        </w:rPr>
        <w:t>7.2  RBAC Status</w:t>
      </w:r>
    </w:p>
    <w:p>
      <w:pPr>
        <w:spacing w:after="120"/>
        <w:jc w:val="both"/>
      </w:pPr>
      <w:r>
        <w:rPr>
          <w:rFonts w:ascii="Calibri" w:hAnsi="Calibri"/>
          <w:b w:val="0"/>
          <w:i w:val="0"/>
          <w:color w:val="000000"/>
          <w:sz w:val="21"/>
        </w:rPr>
        <w:t>Row-level RBAC is not implemented today. The roles claim is present in the JWT but is not enforced inside Cypher. Until Q3 2026, the platform exposes only public data; introduction of patient-derived or commercially sensitive data is gated on RBAC implementation.</w:t>
      </w:r>
    </w:p>
    <w:p>
      <w:pPr>
        <w:spacing w:before="280" w:after="160"/>
        <w:outlineLvl w:val="1"/>
      </w:pPr>
      <w:r>
        <w:rPr>
          <w:rFonts w:ascii="Calibri" w:hAnsi="Calibri"/>
          <w:b/>
          <w:i w:val="0"/>
          <w:color w:val="1B3A6B"/>
          <w:sz w:val="34"/>
        </w:rPr>
        <w:t>8.  AWS Deployment Topology</w:t>
      </w:r>
    </w:p>
    <w:p>
      <w:pPr>
        <w:jc w:val="center"/>
      </w:pPr>
      <w:r>
        <w:drawing>
          <wp:inline xmlns:a="http://schemas.openxmlformats.org/drawingml/2006/main" xmlns:pic="http://schemas.openxmlformats.org/drawingml/2006/picture">
            <wp:extent cx="5943600" cy="3496710"/>
            <wp:docPr id="10" name="Picture 10"/>
            <wp:cNvGraphicFramePr>
              <a:graphicFrameLocks noChangeAspect="1"/>
            </wp:cNvGraphicFramePr>
            <a:graphic>
              <a:graphicData uri="http://schemas.openxmlformats.org/drawingml/2006/picture">
                <pic:pic>
                  <pic:nvPicPr>
                    <pic:cNvPr id="0" name="image.png"/>
                    <pic:cNvPicPr/>
                  </pic:nvPicPr>
                  <pic:blipFill>
                    <a:blip r:embed="rId20"/>
                    <a:stretch>
                      <a:fillRect/>
                    </a:stretch>
                  </pic:blipFill>
                  <pic:spPr>
                    <a:xfrm>
                      <a:off x="0" y="0"/>
                      <a:ext cx="5943600" cy="3496710"/>
                    </a:xfrm>
                    <a:prstGeom prst="rect"/>
                  </pic:spPr>
                </pic:pic>
              </a:graphicData>
            </a:graphic>
          </wp:inline>
        </w:drawing>
      </w:r>
    </w:p>
    <w:p>
      <w:pPr>
        <w:spacing w:before="200" w:after="80"/>
        <w:outlineLvl w:val="2"/>
      </w:pPr>
      <w:r>
        <w:rPr>
          <w:rFonts w:ascii="Calibri" w:hAnsi="Calibri"/>
          <w:b/>
          <w:i w:val="0"/>
          <w:color w:val="2E6DA4"/>
          <w:sz w:val="26"/>
        </w:rPr>
        <w:t>8.1  Environment Matrix</w:t>
      </w:r>
    </w:p>
    <w:tbl>
      <w:tblPr>
        <w:tblStyle w:val="LightGrid-Accent1"/>
        <w:tblW w:type="auto" w:w="0"/>
        <w:jc w:val="center"/>
        <w:tblLook w:firstColumn="1" w:firstRow="1" w:lastColumn="0" w:lastRow="0" w:noHBand="0" w:noVBand="1" w:val="04A0"/>
      </w:tblPr>
      <w:tblGrid>
        <w:gridCol w:w="2493"/>
        <w:gridCol w:w="2493"/>
        <w:gridCol w:w="2493"/>
        <w:gridCol w:w="2493"/>
      </w:tblGrid>
      <w:tr>
        <w:tc>
          <w:tcPr>
            <w:tcW w:type="dxa" w:w="2493"/>
            <w:shd w:val="clear" w:color="auto" w:fill="1B3A6B"/>
            <w:vAlign w:val="top"/>
          </w:tcPr>
          <w:p>
            <w:r/>
            <w:r>
              <w:rPr>
                <w:rFonts w:ascii="Calibri" w:hAnsi="Calibri"/>
                <w:b/>
                <w:i w:val="0"/>
                <w:color w:val="FFFFFF"/>
                <w:sz w:val="18"/>
              </w:rPr>
              <w:t>Attribute</w:t>
            </w:r>
          </w:p>
        </w:tc>
        <w:tc>
          <w:tcPr>
            <w:tcW w:type="dxa" w:w="2493"/>
            <w:shd w:val="clear" w:color="auto" w:fill="1B3A6B"/>
            <w:vAlign w:val="top"/>
          </w:tcPr>
          <w:p>
            <w:r/>
            <w:r>
              <w:rPr>
                <w:rFonts w:ascii="Calibri" w:hAnsi="Calibri"/>
                <w:b/>
                <w:i w:val="0"/>
                <w:color w:val="FFFFFF"/>
                <w:sz w:val="18"/>
              </w:rPr>
              <w:t>Local</w:t>
            </w:r>
          </w:p>
        </w:tc>
        <w:tc>
          <w:tcPr>
            <w:tcW w:type="dxa" w:w="2493"/>
            <w:shd w:val="clear" w:color="auto" w:fill="1B3A6B"/>
            <w:vAlign w:val="top"/>
          </w:tcPr>
          <w:p>
            <w:r/>
            <w:r>
              <w:rPr>
                <w:rFonts w:ascii="Calibri" w:hAnsi="Calibri"/>
                <w:b/>
                <w:i w:val="0"/>
                <w:color w:val="FFFFFF"/>
                <w:sz w:val="18"/>
              </w:rPr>
              <w:t>Difflabs (Dev)</w:t>
            </w:r>
          </w:p>
        </w:tc>
        <w:tc>
          <w:tcPr>
            <w:tcW w:type="dxa" w:w="2493"/>
            <w:shd w:val="clear" w:color="auto" w:fill="1B3A6B"/>
            <w:vAlign w:val="top"/>
          </w:tcPr>
          <w:p>
            <w:r/>
            <w:r>
              <w:rPr>
                <w:rFonts w:ascii="Calibri" w:hAnsi="Calibri"/>
                <w:b/>
                <w:i w:val="0"/>
                <w:color w:val="FFFFFF"/>
                <w:sz w:val="18"/>
              </w:rPr>
              <w:t>AIA (Production)</w:t>
            </w:r>
          </w:p>
        </w:tc>
      </w:tr>
      <w:tr>
        <w:tc>
          <w:tcPr>
            <w:tcW w:type="dxa" w:w="2493"/>
            <w:vAlign w:val="top"/>
          </w:tcPr>
          <w:p>
            <w:r/>
            <w:r>
              <w:rPr>
                <w:rFonts w:ascii="Calibri" w:hAnsi="Calibri"/>
                <w:b w:val="0"/>
                <w:i w:val="0"/>
                <w:color w:val="000000"/>
                <w:sz w:val="18"/>
              </w:rPr>
              <w:t>Platform</w:t>
            </w:r>
          </w:p>
        </w:tc>
        <w:tc>
          <w:tcPr>
            <w:tcW w:type="dxa" w:w="2493"/>
            <w:vAlign w:val="top"/>
          </w:tcPr>
          <w:p>
            <w:r/>
            <w:r>
              <w:rPr>
                <w:rFonts w:ascii="Calibri" w:hAnsi="Calibri"/>
                <w:b w:val="0"/>
                <w:i w:val="0"/>
                <w:color w:val="000000"/>
                <w:sz w:val="18"/>
              </w:rPr>
              <w:t>Docker Compose</w:t>
            </w:r>
          </w:p>
        </w:tc>
        <w:tc>
          <w:tcPr>
            <w:tcW w:type="dxa" w:w="2493"/>
            <w:vAlign w:val="top"/>
          </w:tcPr>
          <w:p>
            <w:r/>
            <w:r>
              <w:rPr>
                <w:rFonts w:ascii="Calibri" w:hAnsi="Calibri"/>
                <w:b w:val="0"/>
                <w:i w:val="0"/>
                <w:color w:val="000000"/>
                <w:sz w:val="18"/>
              </w:rPr>
              <w:t>AWS ECS Fargate</w:t>
            </w:r>
          </w:p>
        </w:tc>
        <w:tc>
          <w:tcPr>
            <w:tcW w:type="dxa" w:w="2493"/>
            <w:vAlign w:val="top"/>
          </w:tcPr>
          <w:p>
            <w:r/>
            <w:r>
              <w:rPr>
                <w:rFonts w:ascii="Calibri" w:hAnsi="Calibri"/>
                <w:b w:val="0"/>
                <w:i w:val="0"/>
                <w:color w:val="000000"/>
                <w:sz w:val="18"/>
              </w:rPr>
              <w:t>AWS ECS Fargate</w:t>
            </w:r>
          </w:p>
        </w:tc>
      </w:tr>
      <w:tr>
        <w:tc>
          <w:tcPr>
            <w:tcW w:type="dxa" w:w="2493"/>
            <w:vAlign w:val="top"/>
          </w:tcPr>
          <w:p>
            <w:r/>
            <w:r>
              <w:rPr>
                <w:rFonts w:ascii="Calibri" w:hAnsi="Calibri"/>
                <w:b w:val="0"/>
                <w:i w:val="0"/>
                <w:color w:val="000000"/>
                <w:sz w:val="18"/>
              </w:rPr>
              <w:t>Region</w:t>
            </w:r>
          </w:p>
        </w:tc>
        <w:tc>
          <w:tcPr>
            <w:tcW w:type="dxa" w:w="2493"/>
            <w:vAlign w:val="top"/>
          </w:tcPr>
          <w:p>
            <w:r/>
            <w:r>
              <w:rPr>
                <w:rFonts w:ascii="Calibri" w:hAnsi="Calibri"/>
                <w:b w:val="0"/>
                <w:i w:val="0"/>
                <w:color w:val="000000"/>
                <w:sz w:val="18"/>
              </w:rPr>
              <w:t>—</w:t>
            </w:r>
          </w:p>
        </w:tc>
        <w:tc>
          <w:tcPr>
            <w:tcW w:type="dxa" w:w="2493"/>
            <w:vAlign w:val="top"/>
          </w:tcPr>
          <w:p>
            <w:r/>
            <w:r>
              <w:rPr>
                <w:rFonts w:ascii="Calibri" w:hAnsi="Calibri"/>
                <w:b w:val="0"/>
                <w:i w:val="0"/>
                <w:color w:val="000000"/>
                <w:sz w:val="18"/>
              </w:rPr>
              <w:t>us-east-1</w:t>
            </w:r>
          </w:p>
        </w:tc>
        <w:tc>
          <w:tcPr>
            <w:tcW w:type="dxa" w:w="2493"/>
            <w:vAlign w:val="top"/>
          </w:tcPr>
          <w:p>
            <w:r/>
            <w:r>
              <w:rPr>
                <w:rFonts w:ascii="Calibri" w:hAnsi="Calibri"/>
                <w:b w:val="0"/>
                <w:i w:val="0"/>
                <w:color w:val="000000"/>
                <w:sz w:val="18"/>
              </w:rPr>
              <w:t>eu-central-1</w:t>
            </w:r>
          </w:p>
        </w:tc>
      </w:tr>
      <w:tr>
        <w:tc>
          <w:tcPr>
            <w:tcW w:type="dxa" w:w="2493"/>
            <w:vAlign w:val="top"/>
          </w:tcPr>
          <w:p>
            <w:r/>
            <w:r>
              <w:rPr>
                <w:rFonts w:ascii="Calibri" w:hAnsi="Calibri"/>
                <w:b w:val="0"/>
                <w:i w:val="0"/>
                <w:color w:val="000000"/>
                <w:sz w:val="18"/>
              </w:rPr>
              <w:t>Account</w:t>
            </w:r>
          </w:p>
        </w:tc>
        <w:tc>
          <w:tcPr>
            <w:tcW w:type="dxa" w:w="2493"/>
            <w:vAlign w:val="top"/>
          </w:tcPr>
          <w:p>
            <w:r/>
            <w:r>
              <w:rPr>
                <w:rFonts w:ascii="Calibri" w:hAnsi="Calibri"/>
                <w:b w:val="0"/>
                <w:i w:val="0"/>
                <w:color w:val="000000"/>
                <w:sz w:val="18"/>
              </w:rPr>
              <w:t>—</w:t>
            </w:r>
          </w:p>
        </w:tc>
        <w:tc>
          <w:tcPr>
            <w:tcW w:type="dxa" w:w="2493"/>
            <w:vAlign w:val="top"/>
          </w:tcPr>
          <w:p>
            <w:r/>
            <w:r>
              <w:rPr>
                <w:rFonts w:ascii="Calibri" w:hAnsi="Calibri"/>
                <w:b w:val="0"/>
                <w:i w:val="0"/>
                <w:color w:val="000000"/>
                <w:sz w:val="18"/>
              </w:rPr>
              <w:t>087084717211</w:t>
            </w:r>
          </w:p>
        </w:tc>
        <w:tc>
          <w:tcPr>
            <w:tcW w:type="dxa" w:w="2493"/>
            <w:vAlign w:val="top"/>
          </w:tcPr>
          <w:p>
            <w:r/>
            <w:r>
              <w:rPr>
                <w:rFonts w:ascii="Calibri" w:hAnsi="Calibri"/>
                <w:b w:val="0"/>
                <w:i w:val="0"/>
                <w:color w:val="000000"/>
                <w:sz w:val="18"/>
              </w:rPr>
              <w:t>010928221940</w:t>
            </w:r>
          </w:p>
        </w:tc>
      </w:tr>
      <w:tr>
        <w:tc>
          <w:tcPr>
            <w:tcW w:type="dxa" w:w="2493"/>
            <w:vAlign w:val="top"/>
          </w:tcPr>
          <w:p>
            <w:r/>
            <w:r>
              <w:rPr>
                <w:rFonts w:ascii="Calibri" w:hAnsi="Calibri"/>
                <w:b w:val="0"/>
                <w:i w:val="0"/>
                <w:color w:val="000000"/>
                <w:sz w:val="18"/>
              </w:rPr>
              <w:t>Auth</w:t>
            </w:r>
          </w:p>
        </w:tc>
        <w:tc>
          <w:tcPr>
            <w:tcW w:type="dxa" w:w="2493"/>
            <w:vAlign w:val="top"/>
          </w:tcPr>
          <w:p>
            <w:r/>
            <w:r>
              <w:rPr>
                <w:rFonts w:ascii="Calibri" w:hAnsi="Calibri"/>
                <w:b w:val="0"/>
                <w:i w:val="0"/>
                <w:color w:val="000000"/>
                <w:sz w:val="18"/>
              </w:rPr>
              <w:t>Local JWT bypass</w:t>
            </w:r>
          </w:p>
        </w:tc>
        <w:tc>
          <w:tcPr>
            <w:tcW w:type="dxa" w:w="2493"/>
            <w:vAlign w:val="top"/>
          </w:tcPr>
          <w:p>
            <w:r/>
            <w:r>
              <w:rPr>
                <w:rFonts w:ascii="Calibri" w:hAnsi="Calibri"/>
                <w:b w:val="0"/>
                <w:i w:val="0"/>
                <w:color w:val="000000"/>
                <w:sz w:val="18"/>
              </w:rPr>
              <w:t>Entra ID</w:t>
            </w:r>
          </w:p>
        </w:tc>
        <w:tc>
          <w:tcPr>
            <w:tcW w:type="dxa" w:w="2493"/>
            <w:vAlign w:val="top"/>
          </w:tcPr>
          <w:p>
            <w:r/>
            <w:r>
              <w:rPr>
                <w:rFonts w:ascii="Calibri" w:hAnsi="Calibri"/>
                <w:b w:val="0"/>
                <w:i w:val="0"/>
                <w:color w:val="000000"/>
                <w:sz w:val="18"/>
              </w:rPr>
              <w:t>Entra ID</w:t>
            </w:r>
          </w:p>
        </w:tc>
      </w:tr>
      <w:tr>
        <w:tc>
          <w:tcPr>
            <w:tcW w:type="dxa" w:w="2493"/>
            <w:vAlign w:val="top"/>
          </w:tcPr>
          <w:p>
            <w:r/>
            <w:r>
              <w:rPr>
                <w:rFonts w:ascii="Calibri" w:hAnsi="Calibri"/>
                <w:b w:val="0"/>
                <w:i w:val="0"/>
                <w:color w:val="000000"/>
                <w:sz w:val="18"/>
              </w:rPr>
              <w:t>Neo4j</w:t>
            </w:r>
          </w:p>
        </w:tc>
        <w:tc>
          <w:tcPr>
            <w:tcW w:type="dxa" w:w="2493"/>
            <w:vAlign w:val="top"/>
          </w:tcPr>
          <w:p>
            <w:r/>
            <w:r>
              <w:rPr>
                <w:rFonts w:ascii="Calibri" w:hAnsi="Calibri"/>
                <w:b w:val="0"/>
                <w:i w:val="0"/>
                <w:color w:val="000000"/>
                <w:sz w:val="18"/>
              </w:rPr>
              <w:t>Container</w:t>
            </w:r>
          </w:p>
        </w:tc>
        <w:tc>
          <w:tcPr>
            <w:tcW w:type="dxa" w:w="2493"/>
            <w:vAlign w:val="top"/>
          </w:tcPr>
          <w:p>
            <w:r/>
            <w:r>
              <w:rPr>
                <w:rFonts w:ascii="Calibri" w:hAnsi="Calibri"/>
                <w:b w:val="0"/>
                <w:i w:val="0"/>
                <w:color w:val="000000"/>
                <w:sz w:val="18"/>
              </w:rPr>
              <w:t>ECS task</w:t>
            </w:r>
          </w:p>
        </w:tc>
        <w:tc>
          <w:tcPr>
            <w:tcW w:type="dxa" w:w="2493"/>
            <w:vAlign w:val="top"/>
          </w:tcPr>
          <w:p>
            <w:r/>
            <w:r>
              <w:rPr>
                <w:rFonts w:ascii="Calibri" w:hAnsi="Calibri"/>
                <w:b w:val="0"/>
                <w:i w:val="0"/>
                <w:color w:val="000000"/>
                <w:sz w:val="18"/>
              </w:rPr>
              <w:t>EC2 (manual)</w:t>
            </w:r>
          </w:p>
        </w:tc>
      </w:tr>
      <w:tr>
        <w:tc>
          <w:tcPr>
            <w:tcW w:type="dxa" w:w="2493"/>
            <w:vAlign w:val="top"/>
          </w:tcPr>
          <w:p>
            <w:r/>
            <w:r>
              <w:rPr>
                <w:rFonts w:ascii="Calibri" w:hAnsi="Calibri"/>
                <w:b w:val="0"/>
                <w:i w:val="0"/>
                <w:color w:val="000000"/>
                <w:sz w:val="18"/>
              </w:rPr>
              <w:t>Secrets</w:t>
            </w:r>
          </w:p>
        </w:tc>
        <w:tc>
          <w:tcPr>
            <w:tcW w:type="dxa" w:w="2493"/>
            <w:vAlign w:val="top"/>
          </w:tcPr>
          <w:p>
            <w:r/>
            <w:r>
              <w:rPr>
                <w:rFonts w:ascii="Calibri" w:hAnsi="Calibri"/>
                <w:b w:val="0"/>
                <w:i w:val="0"/>
                <w:color w:val="000000"/>
                <w:sz w:val="18"/>
              </w:rPr>
              <w:t>docker.env</w:t>
            </w:r>
          </w:p>
        </w:tc>
        <w:tc>
          <w:tcPr>
            <w:tcW w:type="dxa" w:w="2493"/>
            <w:vAlign w:val="top"/>
          </w:tcPr>
          <w:p>
            <w:r/>
            <w:r>
              <w:rPr>
                <w:rFonts w:ascii="Calibri" w:hAnsi="Calibri"/>
                <w:b w:val="0"/>
                <w:i w:val="0"/>
                <w:color w:val="000000"/>
                <w:sz w:val="18"/>
              </w:rPr>
              <w:t>Secrets Manager</w:t>
            </w:r>
          </w:p>
        </w:tc>
        <w:tc>
          <w:tcPr>
            <w:tcW w:type="dxa" w:w="2493"/>
            <w:vAlign w:val="top"/>
          </w:tcPr>
          <w:p>
            <w:r/>
            <w:r>
              <w:rPr>
                <w:rFonts w:ascii="Calibri" w:hAnsi="Calibri"/>
                <w:b w:val="0"/>
                <w:i w:val="0"/>
                <w:color w:val="000000"/>
                <w:sz w:val="18"/>
              </w:rPr>
              <w:t>Secrets Manager</w:t>
            </w:r>
          </w:p>
        </w:tc>
      </w:tr>
      <w:tr>
        <w:tc>
          <w:tcPr>
            <w:tcW w:type="dxa" w:w="2493"/>
            <w:vAlign w:val="top"/>
          </w:tcPr>
          <w:p>
            <w:r/>
            <w:r>
              <w:rPr>
                <w:rFonts w:ascii="Calibri" w:hAnsi="Calibri"/>
                <w:b w:val="0"/>
                <w:i w:val="0"/>
                <w:color w:val="000000"/>
                <w:sz w:val="18"/>
              </w:rPr>
              <w:t>TLS</w:t>
            </w:r>
          </w:p>
        </w:tc>
        <w:tc>
          <w:tcPr>
            <w:tcW w:type="dxa" w:w="2493"/>
            <w:vAlign w:val="top"/>
          </w:tcPr>
          <w:p>
            <w:r/>
            <w:r>
              <w:rPr>
                <w:rFonts w:ascii="Calibri" w:hAnsi="Calibri"/>
                <w:b w:val="0"/>
                <w:i w:val="0"/>
                <w:color w:val="000000"/>
                <w:sz w:val="18"/>
              </w:rPr>
              <w:t>Disabled</w:t>
            </w:r>
          </w:p>
        </w:tc>
        <w:tc>
          <w:tcPr>
            <w:tcW w:type="dxa" w:w="2493"/>
            <w:vAlign w:val="top"/>
          </w:tcPr>
          <w:p>
            <w:r/>
            <w:r>
              <w:rPr>
                <w:rFonts w:ascii="Calibri" w:hAnsi="Calibri"/>
                <w:b w:val="0"/>
                <w:i w:val="0"/>
                <w:color w:val="000000"/>
                <w:sz w:val="18"/>
              </w:rPr>
              <w:t>ALB-terminated</w:t>
            </w:r>
          </w:p>
        </w:tc>
        <w:tc>
          <w:tcPr>
            <w:tcW w:type="dxa" w:w="2493"/>
            <w:vAlign w:val="top"/>
          </w:tcPr>
          <w:p>
            <w:r/>
            <w:r>
              <w:rPr>
                <w:rFonts w:ascii="Calibri" w:hAnsi="Calibri"/>
                <w:b w:val="0"/>
                <w:i w:val="0"/>
                <w:color w:val="000000"/>
                <w:sz w:val="18"/>
              </w:rPr>
              <w:t>ALB-terminated</w:t>
            </w:r>
          </w:p>
        </w:tc>
      </w:tr>
      <w:tr>
        <w:tc>
          <w:tcPr>
            <w:tcW w:type="dxa" w:w="2493"/>
            <w:vAlign w:val="top"/>
          </w:tcPr>
          <w:p>
            <w:r/>
            <w:r>
              <w:rPr>
                <w:rFonts w:ascii="Calibri" w:hAnsi="Calibri"/>
                <w:b w:val="0"/>
                <w:i w:val="0"/>
                <w:color w:val="000000"/>
                <w:sz w:val="18"/>
              </w:rPr>
              <w:t>IaC root</w:t>
            </w:r>
          </w:p>
        </w:tc>
        <w:tc>
          <w:tcPr>
            <w:tcW w:type="dxa" w:w="2493"/>
            <w:vAlign w:val="top"/>
          </w:tcPr>
          <w:p>
            <w:r/>
            <w:r>
              <w:rPr>
                <w:rFonts w:ascii="Calibri" w:hAnsi="Calibri"/>
                <w:b w:val="0"/>
                <w:i w:val="0"/>
                <w:color w:val="000000"/>
                <w:sz w:val="18"/>
              </w:rPr>
              <w:t>—</w:t>
            </w:r>
          </w:p>
        </w:tc>
        <w:tc>
          <w:tcPr>
            <w:tcW w:type="dxa" w:w="2493"/>
            <w:vAlign w:val="top"/>
          </w:tcPr>
          <w:p>
            <w:r/>
            <w:r>
              <w:rPr>
                <w:rFonts w:ascii="Calibri" w:hAnsi="Calibri"/>
                <w:b w:val="0"/>
                <w:i w:val="0"/>
                <w:color w:val="000000"/>
                <w:sz w:val="18"/>
              </w:rPr>
              <w:t>difflabs/iac/</w:t>
            </w:r>
          </w:p>
        </w:tc>
        <w:tc>
          <w:tcPr>
            <w:tcW w:type="dxa" w:w="2493"/>
            <w:vAlign w:val="top"/>
          </w:tcPr>
          <w:p>
            <w:r/>
            <w:r>
              <w:rPr>
                <w:rFonts w:ascii="Calibri" w:hAnsi="Calibri"/>
                <w:b w:val="0"/>
                <w:i w:val="0"/>
                <w:color w:val="000000"/>
                <w:sz w:val="18"/>
              </w:rPr>
              <w:t>infrastructure/</w:t>
            </w:r>
          </w:p>
        </w:tc>
      </w:tr>
    </w:tbl>
    <w:p/>
    <w:p>
      <w:pPr>
        <w:spacing w:before="200" w:after="80"/>
        <w:outlineLvl w:val="2"/>
      </w:pPr>
      <w:r>
        <w:rPr>
          <w:rFonts w:ascii="Calibri" w:hAnsi="Calibri"/>
          <w:b/>
          <w:i w:val="0"/>
          <w:color w:val="2E6DA4"/>
          <w:sz w:val="26"/>
        </w:rPr>
        <w:t>8.2  CI / CD</w:t>
      </w:r>
    </w:p>
    <w:p>
      <w:pPr>
        <w:spacing w:after="120"/>
        <w:jc w:val="both"/>
      </w:pPr>
      <w:r>
        <w:rPr>
          <w:rFonts w:ascii="Calibri" w:hAnsi="Calibri"/>
          <w:b w:val="0"/>
          <w:i w:val="0"/>
          <w:color w:val="000000"/>
          <w:sz w:val="21"/>
        </w:rPr>
        <w:t>Code pushed to the repository triggers pre-commit hooks (Black, Ruff, isort), then GitHub Actions runs unit tests, integration tests against a Neo4j testcontainer, builds the Docker image, pushes to ECR, and runs Terraform plan. Production deployments require a manual approval gate before Terraform apply triggers a rolling ECS update. The developer guide records the same pipeline as a Mermaid flowchart:</w:t>
      </w:r>
    </w:p>
    <w:p>
      <w:pPr>
        <w:jc w:val="center"/>
      </w:pPr>
      <w:r>
        <w:drawing>
          <wp:inline xmlns:a="http://schemas.openxmlformats.org/drawingml/2006/main" xmlns:pic="http://schemas.openxmlformats.org/drawingml/2006/picture">
            <wp:extent cx="5852160" cy="372446"/>
            <wp:docPr id="11" name="Picture 11"/>
            <wp:cNvGraphicFramePr>
              <a:graphicFrameLocks noChangeAspect="1"/>
            </wp:cNvGraphicFramePr>
            <a:graphic>
              <a:graphicData uri="http://schemas.openxmlformats.org/drawingml/2006/picture">
                <pic:pic>
                  <pic:nvPicPr>
                    <pic:cNvPr id="0" name="diagram_07.png"/>
                    <pic:cNvPicPr/>
                  </pic:nvPicPr>
                  <pic:blipFill>
                    <a:blip r:embed="rId21"/>
                    <a:stretch>
                      <a:fillRect/>
                    </a:stretch>
                  </pic:blipFill>
                  <pic:spPr>
                    <a:xfrm>
                      <a:off x="0" y="0"/>
                      <a:ext cx="5852160" cy="372446"/>
                    </a:xfrm>
                    <a:prstGeom prst="rect"/>
                  </pic:spPr>
                </pic:pic>
              </a:graphicData>
            </a:graphic>
          </wp:inline>
        </w:drawing>
      </w:r>
    </w:p>
    <w:p>
      <w:pPr>
        <w:spacing w:after="160"/>
        <w:jc w:val="center"/>
      </w:pPr>
      <w:r>
        <w:rPr>
          <w:rFonts w:ascii="Calibri" w:hAnsi="Calibri"/>
          <w:b w:val="0"/>
          <w:i/>
          <w:color w:val="424242"/>
          <w:sz w:val="18"/>
        </w:rPr>
        <w:t>Figure (Mermaid). CI / CD pipeline, from DEVELOPER_GUIDE.md §13.</w:t>
      </w:r>
    </w:p>
    <w:p>
      <w:r>
        <w:br w:type="page"/>
      </w:r>
    </w:p>
    <w:p>
      <w:pPr>
        <w:spacing w:before="360" w:after="240"/>
        <w:outlineLvl w:val="0"/>
      </w:pPr>
      <w:r>
        <w:rPr>
          <w:rFonts w:ascii="Calibri" w:hAnsi="Calibri"/>
          <w:b/>
          <w:i w:val="0"/>
          <w:color w:val="A6192E"/>
          <w:sz w:val="48"/>
        </w:rPr>
        <w:t>Section 4 — Gaps Identified</w:t>
      </w:r>
    </w:p>
    <w:p>
      <w:r>
        <w:br w:type="page"/>
      </w:r>
    </w:p>
    <w:p>
      <w:pPr>
        <w:spacing w:before="280" w:after="160"/>
        <w:outlineLvl w:val="1"/>
      </w:pPr>
      <w:r>
        <w:rPr>
          <w:rFonts w:ascii="Calibri" w:hAnsi="Calibri"/>
          <w:b/>
          <w:i w:val="0"/>
          <w:color w:val="1B3A6B"/>
          <w:sz w:val="34"/>
        </w:rPr>
        <w:t>9.  Audit Outcome</w:t>
      </w:r>
    </w:p>
    <w:p>
      <w:pPr>
        <w:spacing w:after="120"/>
        <w:jc w:val="both"/>
      </w:pPr>
      <w:r>
        <w:rPr>
          <w:rFonts w:ascii="Calibri" w:hAnsi="Calibri"/>
          <w:b w:val="0"/>
          <w:i w:val="0"/>
          <w:color w:val="000000"/>
          <w:sz w:val="21"/>
        </w:rPr>
        <w:t>The Stage 1 assessment identified twenty-one findings across security, agent framework, database, and observability domains. Two are CRITICAL, ten are HIGH, and nine are MEDIUM severity. Six positive findings recognise the platform's architectural strengths and are preserved through the recommended remediation programme. Estimated remediation effort to close every CRITICAL and HIGH item is approximately eight weeks of focused engineering work, parallelisable across two to three engineers.</w:t>
      </w:r>
    </w:p>
    <w:p>
      <w:pPr>
        <w:spacing w:before="280" w:after="160"/>
        <w:outlineLvl w:val="1"/>
      </w:pPr>
      <w:r>
        <w:rPr>
          <w:rFonts w:ascii="Calibri" w:hAnsi="Calibri"/>
          <w:b/>
          <w:i w:val="0"/>
          <w:color w:val="1B3A6B"/>
          <w:sz w:val="34"/>
        </w:rPr>
        <w:t>10.  Critical Findings</w:t>
      </w:r>
    </w:p>
    <w:p>
      <w:pPr>
        <w:spacing w:after="120"/>
        <w:jc w:val="both"/>
      </w:pPr>
      <w:r>
        <w:rPr>
          <w:rFonts w:ascii="Calibri" w:hAnsi="Calibri"/>
          <w:b w:val="0"/>
          <w:i w:val="0"/>
          <w:color w:val="000000"/>
          <w:sz w:val="21"/>
        </w:rPr>
        <w:t>The two CRITICAL findings dominate the first week of the recommended Phase 1 hardening. Both are fixable in a day or less; both should land before any further functional work is committed.</w:t>
      </w:r>
    </w:p>
    <w:tbl>
      <w:tblPr>
        <w:tblStyle w:val="LightGrid-Accent1"/>
        <w:tblW w:type="auto" w:w="0"/>
        <w:jc w:val="center"/>
        <w:tblLook w:firstColumn="1" w:firstRow="1" w:lastColumn="0" w:lastRow="0" w:noHBand="0" w:noVBand="1" w:val="04A0"/>
      </w:tblPr>
      <w:tblGrid>
        <w:gridCol w:w="1994"/>
        <w:gridCol w:w="1994"/>
        <w:gridCol w:w="1994"/>
        <w:gridCol w:w="1994"/>
        <w:gridCol w:w="1994"/>
      </w:tblGrid>
      <w:tr>
        <w:tc>
          <w:tcPr>
            <w:tcW w:type="dxa" w:w="1994"/>
            <w:shd w:val="clear" w:color="auto" w:fill="A6192E"/>
            <w:vAlign w:val="top"/>
          </w:tcPr>
          <w:p>
            <w:r/>
            <w:r>
              <w:rPr>
                <w:rFonts w:ascii="Calibri" w:hAnsi="Calibri"/>
                <w:b/>
                <w:i w:val="0"/>
                <w:color w:val="FFFFFF"/>
                <w:sz w:val="18"/>
              </w:rPr>
              <w:t>ID</w:t>
            </w:r>
          </w:p>
        </w:tc>
        <w:tc>
          <w:tcPr>
            <w:tcW w:type="dxa" w:w="1994"/>
            <w:shd w:val="clear" w:color="auto" w:fill="A6192E"/>
            <w:vAlign w:val="top"/>
          </w:tcPr>
          <w:p>
            <w:r/>
            <w:r>
              <w:rPr>
                <w:rFonts w:ascii="Calibri" w:hAnsi="Calibri"/>
                <w:b/>
                <w:i w:val="0"/>
                <w:color w:val="FFFFFF"/>
                <w:sz w:val="18"/>
              </w:rPr>
              <w:t>Title</w:t>
            </w:r>
          </w:p>
        </w:tc>
        <w:tc>
          <w:tcPr>
            <w:tcW w:type="dxa" w:w="1994"/>
            <w:shd w:val="clear" w:color="auto" w:fill="A6192E"/>
            <w:vAlign w:val="top"/>
          </w:tcPr>
          <w:p>
            <w:r/>
            <w:r>
              <w:rPr>
                <w:rFonts w:ascii="Calibri" w:hAnsi="Calibri"/>
                <w:b/>
                <w:i w:val="0"/>
                <w:color w:val="FFFFFF"/>
                <w:sz w:val="18"/>
              </w:rPr>
              <w:t>Description</w:t>
            </w:r>
          </w:p>
        </w:tc>
        <w:tc>
          <w:tcPr>
            <w:tcW w:type="dxa" w:w="1994"/>
            <w:shd w:val="clear" w:color="auto" w:fill="A6192E"/>
            <w:vAlign w:val="top"/>
          </w:tcPr>
          <w:p>
            <w:r/>
            <w:r>
              <w:rPr>
                <w:rFonts w:ascii="Calibri" w:hAnsi="Calibri"/>
                <w:b/>
                <w:i w:val="0"/>
                <w:color w:val="FFFFFF"/>
                <w:sz w:val="18"/>
              </w:rPr>
              <w:t>Remediation</w:t>
            </w:r>
          </w:p>
        </w:tc>
        <w:tc>
          <w:tcPr>
            <w:tcW w:type="dxa" w:w="1994"/>
            <w:shd w:val="clear" w:color="auto" w:fill="A6192E"/>
            <w:vAlign w:val="top"/>
          </w:tcPr>
          <w:p>
            <w:r/>
            <w:r>
              <w:rPr>
                <w:rFonts w:ascii="Calibri" w:hAnsi="Calibri"/>
                <w:b/>
                <w:i w:val="0"/>
                <w:color w:val="FFFFFF"/>
                <w:sz w:val="18"/>
              </w:rPr>
              <w:t>Effort</w:t>
            </w:r>
          </w:p>
        </w:tc>
      </w:tr>
      <w:tr>
        <w:tc>
          <w:tcPr>
            <w:tcW w:type="dxa" w:w="1994"/>
            <w:vAlign w:val="top"/>
          </w:tcPr>
          <w:p>
            <w:r/>
            <w:r>
              <w:rPr>
                <w:rFonts w:ascii="Calibri" w:hAnsi="Calibri"/>
                <w:b w:val="0"/>
                <w:i w:val="0"/>
                <w:color w:val="000000"/>
                <w:sz w:val="18"/>
              </w:rPr>
              <w:t>SEC-01</w:t>
            </w:r>
          </w:p>
        </w:tc>
        <w:tc>
          <w:tcPr>
            <w:tcW w:type="dxa" w:w="1994"/>
            <w:vAlign w:val="top"/>
          </w:tcPr>
          <w:p>
            <w:r/>
            <w:r>
              <w:rPr>
                <w:rFonts w:ascii="Calibri" w:hAnsi="Calibri"/>
                <w:b w:val="0"/>
                <w:i w:val="0"/>
                <w:color w:val="000000"/>
                <w:sz w:val="18"/>
              </w:rPr>
              <w:t>SSL verification disabled in MCP client</w:t>
            </w:r>
          </w:p>
        </w:tc>
        <w:tc>
          <w:tcPr>
            <w:tcW w:type="dxa" w:w="1994"/>
            <w:vAlign w:val="top"/>
          </w:tcPr>
          <w:p>
            <w:r/>
            <w:r>
              <w:rPr>
                <w:rFonts w:ascii="Calibri" w:hAnsi="Calibri"/>
                <w:b w:val="0"/>
                <w:i w:val="0"/>
                <w:color w:val="000000"/>
                <w:sz w:val="18"/>
              </w:rPr>
              <w:t>verify=False on httpx; service-to-service traffic vulnerable to MITM.</w:t>
            </w:r>
          </w:p>
        </w:tc>
        <w:tc>
          <w:tcPr>
            <w:tcW w:type="dxa" w:w="1994"/>
            <w:vAlign w:val="top"/>
          </w:tcPr>
          <w:p>
            <w:r/>
            <w:r>
              <w:rPr>
                <w:rFonts w:ascii="Calibri" w:hAnsi="Calibri"/>
                <w:b w:val="0"/>
                <w:i w:val="0"/>
                <w:color w:val="000000"/>
                <w:sz w:val="18"/>
              </w:rPr>
              <w:t>Set verify=True; pass cert path for self-signed dev certs.</w:t>
            </w:r>
          </w:p>
        </w:tc>
        <w:tc>
          <w:tcPr>
            <w:tcW w:type="dxa" w:w="1994"/>
            <w:vAlign w:val="top"/>
          </w:tcPr>
          <w:p>
            <w:r/>
            <w:r>
              <w:rPr>
                <w:rFonts w:ascii="Calibri" w:hAnsi="Calibri"/>
                <w:b w:val="0"/>
                <w:i w:val="0"/>
                <w:color w:val="000000"/>
                <w:sz w:val="18"/>
              </w:rPr>
              <w:t>0.5 day</w:t>
            </w:r>
          </w:p>
        </w:tc>
      </w:tr>
      <w:tr>
        <w:tc>
          <w:tcPr>
            <w:tcW w:type="dxa" w:w="1994"/>
            <w:vAlign w:val="top"/>
          </w:tcPr>
          <w:p>
            <w:r/>
            <w:r>
              <w:rPr>
                <w:rFonts w:ascii="Calibri" w:hAnsi="Calibri"/>
                <w:b w:val="0"/>
                <w:i w:val="0"/>
                <w:color w:val="000000"/>
                <w:sz w:val="18"/>
              </w:rPr>
              <w:t>AGT-01</w:t>
            </w:r>
          </w:p>
        </w:tc>
        <w:tc>
          <w:tcPr>
            <w:tcW w:type="dxa" w:w="1994"/>
            <w:vAlign w:val="top"/>
          </w:tcPr>
          <w:p>
            <w:r/>
            <w:r>
              <w:rPr>
                <w:rFonts w:ascii="Calibri" w:hAnsi="Calibri"/>
                <w:b w:val="0"/>
                <w:i w:val="0"/>
                <w:color w:val="000000"/>
                <w:sz w:val="18"/>
              </w:rPr>
              <w:t>Shared SlidingWindowConversationManager — race condition</w:t>
            </w:r>
          </w:p>
        </w:tc>
        <w:tc>
          <w:tcPr>
            <w:tcW w:type="dxa" w:w="1994"/>
            <w:vAlign w:val="top"/>
          </w:tcPr>
          <w:p>
            <w:r/>
            <w:r>
              <w:rPr>
                <w:rFonts w:ascii="Calibri" w:hAnsi="Calibri"/>
                <w:b w:val="0"/>
                <w:i w:val="0"/>
                <w:color w:val="000000"/>
                <w:sz w:val="18"/>
              </w:rPr>
              <w:t>Single manager shared across agent instances corrupts concurrent sessions.</w:t>
            </w:r>
          </w:p>
        </w:tc>
        <w:tc>
          <w:tcPr>
            <w:tcW w:type="dxa" w:w="1994"/>
            <w:vAlign w:val="top"/>
          </w:tcPr>
          <w:p>
            <w:r/>
            <w:r>
              <w:rPr>
                <w:rFonts w:ascii="Calibri" w:hAnsi="Calibri"/>
                <w:b w:val="0"/>
                <w:i w:val="0"/>
                <w:color w:val="000000"/>
                <w:sz w:val="18"/>
              </w:rPr>
              <w:t>Instantiate the manager per conversation, not per service.</w:t>
            </w:r>
          </w:p>
        </w:tc>
        <w:tc>
          <w:tcPr>
            <w:tcW w:type="dxa" w:w="1994"/>
            <w:vAlign w:val="top"/>
          </w:tcPr>
          <w:p>
            <w:r/>
            <w:r>
              <w:rPr>
                <w:rFonts w:ascii="Calibri" w:hAnsi="Calibri"/>
                <w:b w:val="0"/>
                <w:i w:val="0"/>
                <w:color w:val="000000"/>
                <w:sz w:val="18"/>
              </w:rPr>
              <w:t>1 day</w:t>
            </w:r>
          </w:p>
        </w:tc>
      </w:tr>
    </w:tbl>
    <w:p/>
    <w:p>
      <w:pPr>
        <w:spacing w:before="280" w:after="160"/>
        <w:outlineLvl w:val="1"/>
      </w:pPr>
      <w:r>
        <w:rPr>
          <w:rFonts w:ascii="Calibri" w:hAnsi="Calibri"/>
          <w:b/>
          <w:i w:val="0"/>
          <w:color w:val="1B3A6B"/>
          <w:sz w:val="34"/>
        </w:rPr>
        <w:t>11.  High-Severity Findings</w:t>
      </w:r>
    </w:p>
    <w:p>
      <w:pPr>
        <w:spacing w:after="120"/>
        <w:jc w:val="both"/>
      </w:pPr>
      <w:r>
        <w:rPr>
          <w:rFonts w:ascii="Calibri" w:hAnsi="Calibri"/>
          <w:b w:val="0"/>
          <w:i w:val="0"/>
          <w:color w:val="000000"/>
          <w:sz w:val="21"/>
        </w:rPr>
        <w:t>Ten HIGH-severity findings span the agent, security, database, and observability domains. Eight are quick wins (half a day to one day each); two require multi-day effort (rate limiting, structured logging). Together they remove the platform's most acute production risks.</w:t>
      </w:r>
    </w:p>
    <w:tbl>
      <w:tblPr>
        <w:tblStyle w:val="LightGrid-Accent1"/>
        <w:tblW w:type="auto" w:w="0"/>
        <w:jc w:val="center"/>
        <w:tblLook w:firstColumn="1" w:firstRow="1" w:lastColumn="0" w:lastRow="0" w:noHBand="0" w:noVBand="1" w:val="04A0"/>
      </w:tblPr>
      <w:tblGrid>
        <w:gridCol w:w="1994"/>
        <w:gridCol w:w="1994"/>
        <w:gridCol w:w="1994"/>
        <w:gridCol w:w="1994"/>
        <w:gridCol w:w="1994"/>
      </w:tblGrid>
      <w:tr>
        <w:tc>
          <w:tcPr>
            <w:tcW w:type="dxa" w:w="1994"/>
            <w:shd w:val="clear" w:color="auto" w:fill="E65100"/>
            <w:vAlign w:val="top"/>
          </w:tcPr>
          <w:p>
            <w:r/>
            <w:r>
              <w:rPr>
                <w:rFonts w:ascii="Calibri" w:hAnsi="Calibri"/>
                <w:b/>
                <w:i w:val="0"/>
                <w:color w:val="FFFFFF"/>
                <w:sz w:val="18"/>
              </w:rPr>
              <w:t>ID</w:t>
            </w:r>
          </w:p>
        </w:tc>
        <w:tc>
          <w:tcPr>
            <w:tcW w:type="dxa" w:w="1994"/>
            <w:shd w:val="clear" w:color="auto" w:fill="E65100"/>
            <w:vAlign w:val="top"/>
          </w:tcPr>
          <w:p>
            <w:r/>
            <w:r>
              <w:rPr>
                <w:rFonts w:ascii="Calibri" w:hAnsi="Calibri"/>
                <w:b/>
                <w:i w:val="0"/>
                <w:color w:val="FFFFFF"/>
                <w:sz w:val="18"/>
              </w:rPr>
              <w:t>Title</w:t>
            </w:r>
          </w:p>
        </w:tc>
        <w:tc>
          <w:tcPr>
            <w:tcW w:type="dxa" w:w="1994"/>
            <w:shd w:val="clear" w:color="auto" w:fill="E65100"/>
            <w:vAlign w:val="top"/>
          </w:tcPr>
          <w:p>
            <w:r/>
            <w:r>
              <w:rPr>
                <w:rFonts w:ascii="Calibri" w:hAnsi="Calibri"/>
                <w:b/>
                <w:i w:val="0"/>
                <w:color w:val="FFFFFF"/>
                <w:sz w:val="18"/>
              </w:rPr>
              <w:t>Description</w:t>
            </w:r>
          </w:p>
        </w:tc>
        <w:tc>
          <w:tcPr>
            <w:tcW w:type="dxa" w:w="1994"/>
            <w:shd w:val="clear" w:color="auto" w:fill="E65100"/>
            <w:vAlign w:val="top"/>
          </w:tcPr>
          <w:p>
            <w:r/>
            <w:r>
              <w:rPr>
                <w:rFonts w:ascii="Calibri" w:hAnsi="Calibri"/>
                <w:b/>
                <w:i w:val="0"/>
                <w:color w:val="FFFFFF"/>
                <w:sz w:val="18"/>
              </w:rPr>
              <w:t>Remediation</w:t>
            </w:r>
          </w:p>
        </w:tc>
        <w:tc>
          <w:tcPr>
            <w:tcW w:type="dxa" w:w="1994"/>
            <w:shd w:val="clear" w:color="auto" w:fill="E65100"/>
            <w:vAlign w:val="top"/>
          </w:tcPr>
          <w:p>
            <w:r/>
            <w:r>
              <w:rPr>
                <w:rFonts w:ascii="Calibri" w:hAnsi="Calibri"/>
                <w:b/>
                <w:i w:val="0"/>
                <w:color w:val="FFFFFF"/>
                <w:sz w:val="18"/>
              </w:rPr>
              <w:t>Effort</w:t>
            </w:r>
          </w:p>
        </w:tc>
      </w:tr>
      <w:tr>
        <w:tc>
          <w:tcPr>
            <w:tcW w:type="dxa" w:w="1994"/>
            <w:vAlign w:val="top"/>
          </w:tcPr>
          <w:p>
            <w:r/>
            <w:r>
              <w:rPr>
                <w:rFonts w:ascii="Calibri" w:hAnsi="Calibri"/>
                <w:b w:val="0"/>
                <w:i w:val="0"/>
                <w:color w:val="000000"/>
                <w:sz w:val="18"/>
              </w:rPr>
              <w:t>AGT-02</w:t>
            </w:r>
          </w:p>
        </w:tc>
        <w:tc>
          <w:tcPr>
            <w:tcW w:type="dxa" w:w="1994"/>
            <w:vAlign w:val="top"/>
          </w:tcPr>
          <w:p>
            <w:r/>
            <w:r>
              <w:rPr>
                <w:rFonts w:ascii="Calibri" w:hAnsi="Calibri"/>
                <w:b w:val="0"/>
                <w:i w:val="0"/>
                <w:color w:val="000000"/>
                <w:sz w:val="18"/>
              </w:rPr>
              <w:t>Unbounded ReAct loop</w:t>
            </w:r>
          </w:p>
        </w:tc>
        <w:tc>
          <w:tcPr>
            <w:tcW w:type="dxa" w:w="1994"/>
            <w:vAlign w:val="top"/>
          </w:tcPr>
          <w:p>
            <w:r/>
            <w:r>
              <w:rPr>
                <w:rFonts w:ascii="Calibri" w:hAnsi="Calibri"/>
                <w:b w:val="0"/>
                <w:i w:val="0"/>
                <w:color w:val="000000"/>
                <w:sz w:val="18"/>
              </w:rPr>
              <w:t>No max_iterations on agent; can cycle indefinitely on tool calls.</w:t>
            </w:r>
          </w:p>
        </w:tc>
        <w:tc>
          <w:tcPr>
            <w:tcW w:type="dxa" w:w="1994"/>
            <w:vAlign w:val="top"/>
          </w:tcPr>
          <w:p>
            <w:r/>
            <w:r>
              <w:rPr>
                <w:rFonts w:ascii="Calibri" w:hAnsi="Calibri"/>
                <w:b w:val="0"/>
                <w:i w:val="0"/>
                <w:color w:val="000000"/>
                <w:sz w:val="18"/>
              </w:rPr>
              <w:t>Set max_iterations=25 in Agent constructor.</w:t>
            </w:r>
          </w:p>
        </w:tc>
        <w:tc>
          <w:tcPr>
            <w:tcW w:type="dxa" w:w="1994"/>
            <w:vAlign w:val="top"/>
          </w:tcPr>
          <w:p>
            <w:r/>
            <w:r>
              <w:rPr>
                <w:rFonts w:ascii="Calibri" w:hAnsi="Calibri"/>
                <w:b w:val="0"/>
                <w:i w:val="0"/>
                <w:color w:val="000000"/>
                <w:sz w:val="18"/>
              </w:rPr>
              <w:t>0.5 day</w:t>
            </w:r>
          </w:p>
        </w:tc>
      </w:tr>
      <w:tr>
        <w:tc>
          <w:tcPr>
            <w:tcW w:type="dxa" w:w="1994"/>
            <w:vAlign w:val="top"/>
          </w:tcPr>
          <w:p>
            <w:r/>
            <w:r>
              <w:rPr>
                <w:rFonts w:ascii="Calibri" w:hAnsi="Calibri"/>
                <w:b w:val="0"/>
                <w:i w:val="0"/>
                <w:color w:val="000000"/>
                <w:sz w:val="18"/>
              </w:rPr>
              <w:t>AGT-03</w:t>
            </w:r>
          </w:p>
        </w:tc>
        <w:tc>
          <w:tcPr>
            <w:tcW w:type="dxa" w:w="1994"/>
            <w:vAlign w:val="top"/>
          </w:tcPr>
          <w:p>
            <w:r/>
            <w:r>
              <w:rPr>
                <w:rFonts w:ascii="Calibri" w:hAnsi="Calibri"/>
                <w:b w:val="0"/>
                <w:i w:val="0"/>
                <w:color w:val="000000"/>
                <w:sz w:val="18"/>
              </w:rPr>
              <w:t>No agent execution timeout</w:t>
            </w:r>
          </w:p>
        </w:tc>
        <w:tc>
          <w:tcPr>
            <w:tcW w:type="dxa" w:w="1994"/>
            <w:vAlign w:val="top"/>
          </w:tcPr>
          <w:p>
            <w:r/>
            <w:r>
              <w:rPr>
                <w:rFonts w:ascii="Calibri" w:hAnsi="Calibri"/>
                <w:b w:val="0"/>
                <w:i w:val="0"/>
                <w:color w:val="000000"/>
                <w:sz w:val="18"/>
              </w:rPr>
              <w:t>Streaming connections held until client times out (~120s).</w:t>
            </w:r>
          </w:p>
        </w:tc>
        <w:tc>
          <w:tcPr>
            <w:tcW w:type="dxa" w:w="1994"/>
            <w:vAlign w:val="top"/>
          </w:tcPr>
          <w:p>
            <w:r/>
            <w:r>
              <w:rPr>
                <w:rFonts w:ascii="Calibri" w:hAnsi="Calibri"/>
                <w:b w:val="0"/>
                <w:i w:val="0"/>
                <w:color w:val="000000"/>
                <w:sz w:val="18"/>
              </w:rPr>
              <w:t>Wrap stream_async() in asyncio.wait_for(timeout=300).</w:t>
            </w:r>
          </w:p>
        </w:tc>
        <w:tc>
          <w:tcPr>
            <w:tcW w:type="dxa" w:w="1994"/>
            <w:vAlign w:val="top"/>
          </w:tcPr>
          <w:p>
            <w:r/>
            <w:r>
              <w:rPr>
                <w:rFonts w:ascii="Calibri" w:hAnsi="Calibri"/>
                <w:b w:val="0"/>
                <w:i w:val="0"/>
                <w:color w:val="000000"/>
                <w:sz w:val="18"/>
              </w:rPr>
              <w:t>0.5 day</w:t>
            </w:r>
          </w:p>
        </w:tc>
      </w:tr>
      <w:tr>
        <w:tc>
          <w:tcPr>
            <w:tcW w:type="dxa" w:w="1994"/>
            <w:vAlign w:val="top"/>
          </w:tcPr>
          <w:p>
            <w:r/>
            <w:r>
              <w:rPr>
                <w:rFonts w:ascii="Calibri" w:hAnsi="Calibri"/>
                <w:b w:val="0"/>
                <w:i w:val="0"/>
                <w:color w:val="000000"/>
                <w:sz w:val="18"/>
              </w:rPr>
              <w:t>AGT-04</w:t>
            </w:r>
          </w:p>
        </w:tc>
        <w:tc>
          <w:tcPr>
            <w:tcW w:type="dxa" w:w="1994"/>
            <w:vAlign w:val="top"/>
          </w:tcPr>
          <w:p>
            <w:r/>
            <w:r>
              <w:rPr>
                <w:rFonts w:ascii="Calibri" w:hAnsi="Calibri"/>
                <w:b w:val="0"/>
                <w:i w:val="0"/>
                <w:color w:val="000000"/>
                <w:sz w:val="18"/>
              </w:rPr>
              <w:t>Anthropic LLM client timeout not configured</w:t>
            </w:r>
          </w:p>
        </w:tc>
        <w:tc>
          <w:tcPr>
            <w:tcW w:type="dxa" w:w="1994"/>
            <w:vAlign w:val="top"/>
          </w:tcPr>
          <w:p>
            <w:r/>
            <w:r>
              <w:rPr>
                <w:rFonts w:ascii="Calibri" w:hAnsi="Calibri"/>
                <w:b w:val="0"/>
                <w:i w:val="0"/>
                <w:color w:val="000000"/>
                <w:sz w:val="18"/>
              </w:rPr>
              <w:t>OpenAI client has 60s timeout; Anthropic has none.</w:t>
            </w:r>
          </w:p>
        </w:tc>
        <w:tc>
          <w:tcPr>
            <w:tcW w:type="dxa" w:w="1994"/>
            <w:vAlign w:val="top"/>
          </w:tcPr>
          <w:p>
            <w:r/>
            <w:r>
              <w:rPr>
                <w:rFonts w:ascii="Calibri" w:hAnsi="Calibri"/>
                <w:b w:val="0"/>
                <w:i w:val="0"/>
                <w:color w:val="000000"/>
                <w:sz w:val="18"/>
              </w:rPr>
              <w:t>Pass timeout=60.0 to the Anthropic model configuration.</w:t>
            </w:r>
          </w:p>
        </w:tc>
        <w:tc>
          <w:tcPr>
            <w:tcW w:type="dxa" w:w="1994"/>
            <w:vAlign w:val="top"/>
          </w:tcPr>
          <w:p>
            <w:r/>
            <w:r>
              <w:rPr>
                <w:rFonts w:ascii="Calibri" w:hAnsi="Calibri"/>
                <w:b w:val="0"/>
                <w:i w:val="0"/>
                <w:color w:val="000000"/>
                <w:sz w:val="18"/>
              </w:rPr>
              <w:t>0.5 day</w:t>
            </w:r>
          </w:p>
        </w:tc>
      </w:tr>
      <w:tr>
        <w:tc>
          <w:tcPr>
            <w:tcW w:type="dxa" w:w="1994"/>
            <w:vAlign w:val="top"/>
          </w:tcPr>
          <w:p>
            <w:r/>
            <w:r>
              <w:rPr>
                <w:rFonts w:ascii="Calibri" w:hAnsi="Calibri"/>
                <w:b w:val="0"/>
                <w:i w:val="0"/>
                <w:color w:val="000000"/>
                <w:sz w:val="18"/>
              </w:rPr>
              <w:t>AGT-05</w:t>
            </w:r>
          </w:p>
        </w:tc>
        <w:tc>
          <w:tcPr>
            <w:tcW w:type="dxa" w:w="1994"/>
            <w:vAlign w:val="top"/>
          </w:tcPr>
          <w:p>
            <w:r/>
            <w:r>
              <w:rPr>
                <w:rFonts w:ascii="Calibri" w:hAnsi="Calibri"/>
                <w:b w:val="0"/>
                <w:i w:val="0"/>
                <w:color w:val="000000"/>
                <w:sz w:val="18"/>
              </w:rPr>
              <w:t>python_repl tool always loaded</w:t>
            </w:r>
          </w:p>
        </w:tc>
        <w:tc>
          <w:tcPr>
            <w:tcW w:type="dxa" w:w="1994"/>
            <w:vAlign w:val="top"/>
          </w:tcPr>
          <w:p>
            <w:r/>
            <w:r>
              <w:rPr>
                <w:rFonts w:ascii="Calibri" w:hAnsi="Calibri"/>
                <w:b w:val="0"/>
                <w:i w:val="0"/>
                <w:color w:val="000000"/>
                <w:sz w:val="18"/>
              </w:rPr>
              <w:t>LLM has access to arbitrary code execution by default.</w:t>
            </w:r>
          </w:p>
        </w:tc>
        <w:tc>
          <w:tcPr>
            <w:tcW w:type="dxa" w:w="1994"/>
            <w:vAlign w:val="top"/>
          </w:tcPr>
          <w:p>
            <w:r/>
            <w:r>
              <w:rPr>
                <w:rFonts w:ascii="Calibri" w:hAnsi="Calibri"/>
                <w:b w:val="0"/>
                <w:i w:val="0"/>
                <w:color w:val="000000"/>
                <w:sz w:val="18"/>
              </w:rPr>
              <w:t>Make python_repl opt-in; disable in production.</w:t>
            </w:r>
          </w:p>
        </w:tc>
        <w:tc>
          <w:tcPr>
            <w:tcW w:type="dxa" w:w="1994"/>
            <w:vAlign w:val="top"/>
          </w:tcPr>
          <w:p>
            <w:r/>
            <w:r>
              <w:rPr>
                <w:rFonts w:ascii="Calibri" w:hAnsi="Calibri"/>
                <w:b w:val="0"/>
                <w:i w:val="0"/>
                <w:color w:val="000000"/>
                <w:sz w:val="18"/>
              </w:rPr>
              <w:t>0.5 day</w:t>
            </w:r>
          </w:p>
        </w:tc>
      </w:tr>
      <w:tr>
        <w:tc>
          <w:tcPr>
            <w:tcW w:type="dxa" w:w="1994"/>
            <w:vAlign w:val="top"/>
          </w:tcPr>
          <w:p>
            <w:r/>
            <w:r>
              <w:rPr>
                <w:rFonts w:ascii="Calibri" w:hAnsi="Calibri"/>
                <w:b w:val="0"/>
                <w:i w:val="0"/>
                <w:color w:val="000000"/>
                <w:sz w:val="18"/>
              </w:rPr>
              <w:t>SEC-02</w:t>
            </w:r>
          </w:p>
        </w:tc>
        <w:tc>
          <w:tcPr>
            <w:tcW w:type="dxa" w:w="1994"/>
            <w:vAlign w:val="top"/>
          </w:tcPr>
          <w:p>
            <w:r/>
            <w:r>
              <w:rPr>
                <w:rFonts w:ascii="Calibri" w:hAnsi="Calibri"/>
                <w:b w:val="0"/>
                <w:i w:val="0"/>
                <w:color w:val="000000"/>
                <w:sz w:val="18"/>
              </w:rPr>
              <w:t>Allowlist raises generic Exception</w:t>
            </w:r>
          </w:p>
        </w:tc>
        <w:tc>
          <w:tcPr>
            <w:tcW w:type="dxa" w:w="1994"/>
            <w:vAlign w:val="top"/>
          </w:tcPr>
          <w:p>
            <w:r/>
            <w:r>
              <w:rPr>
                <w:rFonts w:ascii="Calibri" w:hAnsi="Calibri"/>
                <w:b w:val="0"/>
                <w:i w:val="0"/>
                <w:color w:val="000000"/>
                <w:sz w:val="18"/>
              </w:rPr>
              <w:t>Causes HTTP 500 instead of 403; leaks stack to clients.</w:t>
            </w:r>
          </w:p>
        </w:tc>
        <w:tc>
          <w:tcPr>
            <w:tcW w:type="dxa" w:w="1994"/>
            <w:vAlign w:val="top"/>
          </w:tcPr>
          <w:p>
            <w:r/>
            <w:r>
              <w:rPr>
                <w:rFonts w:ascii="Calibri" w:hAnsi="Calibri"/>
                <w:b w:val="0"/>
                <w:i w:val="0"/>
                <w:color w:val="000000"/>
                <w:sz w:val="18"/>
              </w:rPr>
              <w:t>Raise HTTPException(status_code=403, detail='Access denied').</w:t>
            </w:r>
          </w:p>
        </w:tc>
        <w:tc>
          <w:tcPr>
            <w:tcW w:type="dxa" w:w="1994"/>
            <w:vAlign w:val="top"/>
          </w:tcPr>
          <w:p>
            <w:r/>
            <w:r>
              <w:rPr>
                <w:rFonts w:ascii="Calibri" w:hAnsi="Calibri"/>
                <w:b w:val="0"/>
                <w:i w:val="0"/>
                <w:color w:val="000000"/>
                <w:sz w:val="18"/>
              </w:rPr>
              <w:t>0.5 day</w:t>
            </w:r>
          </w:p>
        </w:tc>
      </w:tr>
      <w:tr>
        <w:tc>
          <w:tcPr>
            <w:tcW w:type="dxa" w:w="1994"/>
            <w:vAlign w:val="top"/>
          </w:tcPr>
          <w:p>
            <w:r/>
            <w:r>
              <w:rPr>
                <w:rFonts w:ascii="Calibri" w:hAnsi="Calibri"/>
                <w:b w:val="0"/>
                <w:i w:val="0"/>
                <w:color w:val="000000"/>
                <w:sz w:val="18"/>
              </w:rPr>
              <w:t>SEC-03</w:t>
            </w:r>
          </w:p>
        </w:tc>
        <w:tc>
          <w:tcPr>
            <w:tcW w:type="dxa" w:w="1994"/>
            <w:vAlign w:val="top"/>
          </w:tcPr>
          <w:p>
            <w:r/>
            <w:r>
              <w:rPr>
                <w:rFonts w:ascii="Calibri" w:hAnsi="Calibri"/>
                <w:b w:val="0"/>
                <w:i w:val="0"/>
                <w:color w:val="000000"/>
                <w:sz w:val="18"/>
              </w:rPr>
              <w:t>No rate limiting on any endpoint</w:t>
            </w:r>
          </w:p>
        </w:tc>
        <w:tc>
          <w:tcPr>
            <w:tcW w:type="dxa" w:w="1994"/>
            <w:vAlign w:val="top"/>
          </w:tcPr>
          <w:p>
            <w:r/>
            <w:r>
              <w:rPr>
                <w:rFonts w:ascii="Calibri" w:hAnsi="Calibri"/>
                <w:b w:val="0"/>
                <w:i w:val="0"/>
                <w:color w:val="000000"/>
                <w:sz w:val="18"/>
              </w:rPr>
              <w:t>Unlimited concurrent requests; DoS / cost exposure.</w:t>
            </w:r>
          </w:p>
        </w:tc>
        <w:tc>
          <w:tcPr>
            <w:tcW w:type="dxa" w:w="1994"/>
            <w:vAlign w:val="top"/>
          </w:tcPr>
          <w:p>
            <w:r/>
            <w:r>
              <w:rPr>
                <w:rFonts w:ascii="Calibri" w:hAnsi="Calibri"/>
                <w:b w:val="0"/>
                <w:i w:val="0"/>
                <w:color w:val="000000"/>
                <w:sz w:val="18"/>
              </w:rPr>
              <w:t>Add slowapi: 100 req/min per IP; 10 sessions per user.</w:t>
            </w:r>
          </w:p>
        </w:tc>
        <w:tc>
          <w:tcPr>
            <w:tcW w:type="dxa" w:w="1994"/>
            <w:vAlign w:val="top"/>
          </w:tcPr>
          <w:p>
            <w:r/>
            <w:r>
              <w:rPr>
                <w:rFonts w:ascii="Calibri" w:hAnsi="Calibri"/>
                <w:b w:val="0"/>
                <w:i w:val="0"/>
                <w:color w:val="000000"/>
                <w:sz w:val="18"/>
              </w:rPr>
              <w:t>2 days</w:t>
            </w:r>
          </w:p>
        </w:tc>
      </w:tr>
      <w:tr>
        <w:tc>
          <w:tcPr>
            <w:tcW w:type="dxa" w:w="1994"/>
            <w:vAlign w:val="top"/>
          </w:tcPr>
          <w:p>
            <w:r/>
            <w:r>
              <w:rPr>
                <w:rFonts w:ascii="Calibri" w:hAnsi="Calibri"/>
                <w:b w:val="0"/>
                <w:i w:val="0"/>
                <w:color w:val="000000"/>
                <w:sz w:val="18"/>
              </w:rPr>
              <w:t>DB-01</w:t>
            </w:r>
          </w:p>
        </w:tc>
        <w:tc>
          <w:tcPr>
            <w:tcW w:type="dxa" w:w="1994"/>
            <w:vAlign w:val="top"/>
          </w:tcPr>
          <w:p>
            <w:r/>
            <w:r>
              <w:rPr>
                <w:rFonts w:ascii="Calibri" w:hAnsi="Calibri"/>
                <w:b w:val="0"/>
                <w:i w:val="0"/>
                <w:color w:val="000000"/>
                <w:sz w:val="18"/>
              </w:rPr>
              <w:t>No Neo4j query timeout</w:t>
            </w:r>
          </w:p>
        </w:tc>
        <w:tc>
          <w:tcPr>
            <w:tcW w:type="dxa" w:w="1994"/>
            <w:vAlign w:val="top"/>
          </w:tcPr>
          <w:p>
            <w:r/>
            <w:r>
              <w:rPr>
                <w:rFonts w:ascii="Calibri" w:hAnsi="Calibri"/>
                <w:b w:val="0"/>
                <w:i w:val="0"/>
                <w:color w:val="000000"/>
                <w:sz w:val="18"/>
              </w:rPr>
              <w:t>Driver initialised without socket_keepalive or transaction timeout.</w:t>
            </w:r>
          </w:p>
        </w:tc>
        <w:tc>
          <w:tcPr>
            <w:tcW w:type="dxa" w:w="1994"/>
            <w:vAlign w:val="top"/>
          </w:tcPr>
          <w:p>
            <w:r/>
            <w:r>
              <w:rPr>
                <w:rFonts w:ascii="Calibri" w:hAnsi="Calibri"/>
                <w:b w:val="0"/>
                <w:i w:val="0"/>
                <w:color w:val="000000"/>
                <w:sz w:val="18"/>
              </w:rPr>
              <w:t>Set connection_timeout=30 and max_transaction_retry_time=30.</w:t>
            </w:r>
          </w:p>
        </w:tc>
        <w:tc>
          <w:tcPr>
            <w:tcW w:type="dxa" w:w="1994"/>
            <w:vAlign w:val="top"/>
          </w:tcPr>
          <w:p>
            <w:r/>
            <w:r>
              <w:rPr>
                <w:rFonts w:ascii="Calibri" w:hAnsi="Calibri"/>
                <w:b w:val="0"/>
                <w:i w:val="0"/>
                <w:color w:val="000000"/>
                <w:sz w:val="18"/>
              </w:rPr>
              <w:t>1 day</w:t>
            </w:r>
          </w:p>
        </w:tc>
      </w:tr>
      <w:tr>
        <w:tc>
          <w:tcPr>
            <w:tcW w:type="dxa" w:w="1994"/>
            <w:vAlign w:val="top"/>
          </w:tcPr>
          <w:p>
            <w:r/>
            <w:r>
              <w:rPr>
                <w:rFonts w:ascii="Calibri" w:hAnsi="Calibri"/>
                <w:b w:val="0"/>
                <w:i w:val="0"/>
                <w:color w:val="000000"/>
                <w:sz w:val="18"/>
              </w:rPr>
              <w:t>OBS-01</w:t>
            </w:r>
          </w:p>
        </w:tc>
        <w:tc>
          <w:tcPr>
            <w:tcW w:type="dxa" w:w="1994"/>
            <w:vAlign w:val="top"/>
          </w:tcPr>
          <w:p>
            <w:r/>
            <w:r>
              <w:rPr>
                <w:rFonts w:ascii="Calibri" w:hAnsi="Calibri"/>
                <w:b w:val="0"/>
                <w:i w:val="0"/>
                <w:color w:val="000000"/>
                <w:sz w:val="18"/>
              </w:rPr>
              <w:t>No structured JSON logging</w:t>
            </w:r>
          </w:p>
        </w:tc>
        <w:tc>
          <w:tcPr>
            <w:tcW w:type="dxa" w:w="1994"/>
            <w:vAlign w:val="top"/>
          </w:tcPr>
          <w:p>
            <w:r/>
            <w:r>
              <w:rPr>
                <w:rFonts w:ascii="Calibri" w:hAnsi="Calibri"/>
                <w:b w:val="0"/>
                <w:i w:val="0"/>
                <w:color w:val="000000"/>
                <w:sz w:val="18"/>
              </w:rPr>
              <w:t>Plain-text logging incompatible with CloudWatch Logs Insights.</w:t>
            </w:r>
          </w:p>
        </w:tc>
        <w:tc>
          <w:tcPr>
            <w:tcW w:type="dxa" w:w="1994"/>
            <w:vAlign w:val="top"/>
          </w:tcPr>
          <w:p>
            <w:r/>
            <w:r>
              <w:rPr>
                <w:rFonts w:ascii="Calibri" w:hAnsi="Calibri"/>
                <w:b w:val="0"/>
                <w:i w:val="0"/>
                <w:color w:val="000000"/>
                <w:sz w:val="18"/>
              </w:rPr>
              <w:t>Adopt python-json-logger across all services.</w:t>
            </w:r>
          </w:p>
        </w:tc>
        <w:tc>
          <w:tcPr>
            <w:tcW w:type="dxa" w:w="1994"/>
            <w:vAlign w:val="top"/>
          </w:tcPr>
          <w:p>
            <w:r/>
            <w:r>
              <w:rPr>
                <w:rFonts w:ascii="Calibri" w:hAnsi="Calibri"/>
                <w:b w:val="0"/>
                <w:i w:val="0"/>
                <w:color w:val="000000"/>
                <w:sz w:val="18"/>
              </w:rPr>
              <w:t>2 days</w:t>
            </w:r>
          </w:p>
        </w:tc>
      </w:tr>
      <w:tr>
        <w:tc>
          <w:tcPr>
            <w:tcW w:type="dxa" w:w="1994"/>
            <w:vAlign w:val="top"/>
          </w:tcPr>
          <w:p>
            <w:r/>
            <w:r>
              <w:rPr>
                <w:rFonts w:ascii="Calibri" w:hAnsi="Calibri"/>
                <w:b w:val="0"/>
                <w:i w:val="0"/>
                <w:color w:val="000000"/>
                <w:sz w:val="18"/>
              </w:rPr>
              <w:t>OBS-02</w:t>
            </w:r>
          </w:p>
        </w:tc>
        <w:tc>
          <w:tcPr>
            <w:tcW w:type="dxa" w:w="1994"/>
            <w:vAlign w:val="top"/>
          </w:tcPr>
          <w:p>
            <w:r/>
            <w:r>
              <w:rPr>
                <w:rFonts w:ascii="Calibri" w:hAnsi="Calibri"/>
                <w:b w:val="0"/>
                <w:i w:val="0"/>
                <w:color w:val="000000"/>
                <w:sz w:val="18"/>
              </w:rPr>
              <w:t>No metrics export</w:t>
            </w:r>
          </w:p>
        </w:tc>
        <w:tc>
          <w:tcPr>
            <w:tcW w:type="dxa" w:w="1994"/>
            <w:vAlign w:val="top"/>
          </w:tcPr>
          <w:p>
            <w:r/>
            <w:r>
              <w:rPr>
                <w:rFonts w:ascii="Calibri" w:hAnsi="Calibri"/>
                <w:b w:val="0"/>
                <w:i w:val="0"/>
                <w:color w:val="000000"/>
                <w:sz w:val="18"/>
              </w:rPr>
              <w:t>No Prometheus or CloudWatch metrics for application signals.</w:t>
            </w:r>
          </w:p>
        </w:tc>
        <w:tc>
          <w:tcPr>
            <w:tcW w:type="dxa" w:w="1994"/>
            <w:vAlign w:val="top"/>
          </w:tcPr>
          <w:p>
            <w:r/>
            <w:r>
              <w:rPr>
                <w:rFonts w:ascii="Calibri" w:hAnsi="Calibri"/>
                <w:b w:val="0"/>
                <w:i w:val="0"/>
                <w:color w:val="000000"/>
                <w:sz w:val="18"/>
              </w:rPr>
              <w:t>Add Prometheus client + scrape config; or CloudWatch EMF.</w:t>
            </w:r>
          </w:p>
        </w:tc>
        <w:tc>
          <w:tcPr>
            <w:tcW w:type="dxa" w:w="1994"/>
            <w:vAlign w:val="top"/>
          </w:tcPr>
          <w:p>
            <w:r/>
            <w:r>
              <w:rPr>
                <w:rFonts w:ascii="Calibri" w:hAnsi="Calibri"/>
                <w:b w:val="0"/>
                <w:i w:val="0"/>
                <w:color w:val="000000"/>
                <w:sz w:val="18"/>
              </w:rPr>
              <w:t>3 days</w:t>
            </w:r>
          </w:p>
        </w:tc>
      </w:tr>
      <w:tr>
        <w:tc>
          <w:tcPr>
            <w:tcW w:type="dxa" w:w="1994"/>
            <w:vAlign w:val="top"/>
          </w:tcPr>
          <w:p>
            <w:r/>
            <w:r>
              <w:rPr>
                <w:rFonts w:ascii="Calibri" w:hAnsi="Calibri"/>
                <w:b w:val="0"/>
                <w:i w:val="0"/>
                <w:color w:val="000000"/>
                <w:sz w:val="18"/>
              </w:rPr>
              <w:t>OBS-03</w:t>
            </w:r>
          </w:p>
        </w:tc>
        <w:tc>
          <w:tcPr>
            <w:tcW w:type="dxa" w:w="1994"/>
            <w:vAlign w:val="top"/>
          </w:tcPr>
          <w:p>
            <w:r/>
            <w:r>
              <w:rPr>
                <w:rFonts w:ascii="Calibri" w:hAnsi="Calibri"/>
                <w:b w:val="0"/>
                <w:i w:val="0"/>
                <w:color w:val="000000"/>
                <w:sz w:val="18"/>
              </w:rPr>
              <w:t>No distributed tracing</w:t>
            </w:r>
          </w:p>
        </w:tc>
        <w:tc>
          <w:tcPr>
            <w:tcW w:type="dxa" w:w="1994"/>
            <w:vAlign w:val="top"/>
          </w:tcPr>
          <w:p>
            <w:r/>
            <w:r>
              <w:rPr>
                <w:rFonts w:ascii="Calibri" w:hAnsi="Calibri"/>
                <w:b w:val="0"/>
                <w:i w:val="0"/>
                <w:color w:val="000000"/>
                <w:sz w:val="18"/>
              </w:rPr>
              <w:t>No correlation across services; cross-service debugging is forensic.</w:t>
            </w:r>
          </w:p>
        </w:tc>
        <w:tc>
          <w:tcPr>
            <w:tcW w:type="dxa" w:w="1994"/>
            <w:vAlign w:val="top"/>
          </w:tcPr>
          <w:p>
            <w:r/>
            <w:r>
              <w:rPr>
                <w:rFonts w:ascii="Calibri" w:hAnsi="Calibri"/>
                <w:b w:val="0"/>
                <w:i w:val="0"/>
                <w:color w:val="000000"/>
                <w:sz w:val="18"/>
              </w:rPr>
              <w:t>Integrate OpenTelemetry SDK + AWS X-Ray exporter.</w:t>
            </w:r>
          </w:p>
        </w:tc>
        <w:tc>
          <w:tcPr>
            <w:tcW w:type="dxa" w:w="1994"/>
            <w:vAlign w:val="top"/>
          </w:tcPr>
          <w:p>
            <w:r/>
            <w:r>
              <w:rPr>
                <w:rFonts w:ascii="Calibri" w:hAnsi="Calibri"/>
                <w:b w:val="0"/>
                <w:i w:val="0"/>
                <w:color w:val="000000"/>
                <w:sz w:val="18"/>
              </w:rPr>
              <w:t>5 days</w:t>
            </w:r>
          </w:p>
        </w:tc>
      </w:tr>
      <w:tr>
        <w:tc>
          <w:tcPr>
            <w:tcW w:type="dxa" w:w="1994"/>
            <w:vAlign w:val="top"/>
          </w:tcPr>
          <w:p>
            <w:r/>
            <w:r>
              <w:rPr>
                <w:rFonts w:ascii="Calibri" w:hAnsi="Calibri"/>
                <w:b w:val="0"/>
                <w:i w:val="0"/>
                <w:color w:val="000000"/>
                <w:sz w:val="18"/>
              </w:rPr>
              <w:t>OBS-04</w:t>
            </w:r>
          </w:p>
        </w:tc>
        <w:tc>
          <w:tcPr>
            <w:tcW w:type="dxa" w:w="1994"/>
            <w:vAlign w:val="top"/>
          </w:tcPr>
          <w:p>
            <w:r/>
            <w:r>
              <w:rPr>
                <w:rFonts w:ascii="Calibri" w:hAnsi="Calibri"/>
                <w:b w:val="0"/>
                <w:i w:val="0"/>
                <w:color w:val="000000"/>
                <w:sz w:val="18"/>
              </w:rPr>
              <w:t>Shallow /health endpoints</w:t>
            </w:r>
          </w:p>
        </w:tc>
        <w:tc>
          <w:tcPr>
            <w:tcW w:type="dxa" w:w="1994"/>
            <w:vAlign w:val="top"/>
          </w:tcPr>
          <w:p>
            <w:r/>
            <w:r>
              <w:rPr>
                <w:rFonts w:ascii="Calibri" w:hAnsi="Calibri"/>
                <w:b w:val="0"/>
                <w:i w:val="0"/>
                <w:color w:val="000000"/>
                <w:sz w:val="18"/>
              </w:rPr>
              <w:t>Returns OK without checking dependencies.</w:t>
            </w:r>
          </w:p>
        </w:tc>
        <w:tc>
          <w:tcPr>
            <w:tcW w:type="dxa" w:w="1994"/>
            <w:vAlign w:val="top"/>
          </w:tcPr>
          <w:p>
            <w:r/>
            <w:r>
              <w:rPr>
                <w:rFonts w:ascii="Calibri" w:hAnsi="Calibri"/>
                <w:b w:val="0"/>
                <w:i w:val="0"/>
                <w:color w:val="000000"/>
                <w:sz w:val="18"/>
              </w:rPr>
              <w:t>Add deep checks for Neo4j, MCP, LLM availability.</w:t>
            </w:r>
          </w:p>
        </w:tc>
        <w:tc>
          <w:tcPr>
            <w:tcW w:type="dxa" w:w="1994"/>
            <w:vAlign w:val="top"/>
          </w:tcPr>
          <w:p>
            <w:r/>
            <w:r>
              <w:rPr>
                <w:rFonts w:ascii="Calibri" w:hAnsi="Calibri"/>
                <w:b w:val="0"/>
                <w:i w:val="0"/>
                <w:color w:val="000000"/>
                <w:sz w:val="18"/>
              </w:rPr>
              <w:t>1 day</w:t>
            </w:r>
          </w:p>
        </w:tc>
      </w:tr>
    </w:tbl>
    <w:p/>
    <w:p>
      <w:pPr>
        <w:spacing w:before="280" w:after="160"/>
        <w:outlineLvl w:val="1"/>
      </w:pPr>
      <w:r>
        <w:rPr>
          <w:rFonts w:ascii="Calibri" w:hAnsi="Calibri"/>
          <w:b/>
          <w:i w:val="0"/>
          <w:color w:val="1B3A6B"/>
          <w:sz w:val="34"/>
        </w:rPr>
        <w:t>12.  Medium-Severity Findings</w:t>
      </w:r>
    </w:p>
    <w:p>
      <w:pPr>
        <w:spacing w:after="120"/>
        <w:jc w:val="both"/>
      </w:pPr>
      <w:r>
        <w:rPr>
          <w:rFonts w:ascii="Calibri" w:hAnsi="Calibri"/>
          <w:b w:val="0"/>
          <w:i w:val="0"/>
          <w:color w:val="000000"/>
          <w:sz w:val="21"/>
        </w:rPr>
        <w:t>Nine MEDIUM-severity findings cover token revocation, PII / PHI filtering, connection-pool sizing, deep-pagination caps, file-session robustness, graph statistics, and graph-data freshness. They do not block limited rollout, but they are required for a 100-concurrent-user posture and for the regulatory expectations that follow any introduction of patient-derived or commercially sensitive data.</w:t>
      </w:r>
    </w:p>
    <w:tbl>
      <w:tblPr>
        <w:tblStyle w:val="LightGrid-Accent1"/>
        <w:tblW w:type="auto" w:w="0"/>
        <w:jc w:val="center"/>
        <w:tblLook w:firstColumn="1" w:firstRow="1" w:lastColumn="0" w:lastRow="0" w:noHBand="0" w:noVBand="1" w:val="04A0"/>
      </w:tblPr>
      <w:tblGrid>
        <w:gridCol w:w="1994"/>
        <w:gridCol w:w="1994"/>
        <w:gridCol w:w="1994"/>
        <w:gridCol w:w="1994"/>
        <w:gridCol w:w="1994"/>
      </w:tblGrid>
      <w:tr>
        <w:tc>
          <w:tcPr>
            <w:tcW w:type="dxa" w:w="1994"/>
            <w:shd w:val="clear" w:color="auto" w:fill="4A148C"/>
            <w:vAlign w:val="top"/>
          </w:tcPr>
          <w:p>
            <w:r/>
            <w:r>
              <w:rPr>
                <w:rFonts w:ascii="Calibri" w:hAnsi="Calibri"/>
                <w:b/>
                <w:i w:val="0"/>
                <w:color w:val="FFFFFF"/>
                <w:sz w:val="18"/>
              </w:rPr>
              <w:t>ID</w:t>
            </w:r>
          </w:p>
        </w:tc>
        <w:tc>
          <w:tcPr>
            <w:tcW w:type="dxa" w:w="1994"/>
            <w:shd w:val="clear" w:color="auto" w:fill="4A148C"/>
            <w:vAlign w:val="top"/>
          </w:tcPr>
          <w:p>
            <w:r/>
            <w:r>
              <w:rPr>
                <w:rFonts w:ascii="Calibri" w:hAnsi="Calibri"/>
                <w:b/>
                <w:i w:val="0"/>
                <w:color w:val="FFFFFF"/>
                <w:sz w:val="18"/>
              </w:rPr>
              <w:t>Title</w:t>
            </w:r>
          </w:p>
        </w:tc>
        <w:tc>
          <w:tcPr>
            <w:tcW w:type="dxa" w:w="1994"/>
            <w:shd w:val="clear" w:color="auto" w:fill="4A148C"/>
            <w:vAlign w:val="top"/>
          </w:tcPr>
          <w:p>
            <w:r/>
            <w:r>
              <w:rPr>
                <w:rFonts w:ascii="Calibri" w:hAnsi="Calibri"/>
                <w:b/>
                <w:i w:val="0"/>
                <w:color w:val="FFFFFF"/>
                <w:sz w:val="18"/>
              </w:rPr>
              <w:t>Description</w:t>
            </w:r>
          </w:p>
        </w:tc>
        <w:tc>
          <w:tcPr>
            <w:tcW w:type="dxa" w:w="1994"/>
            <w:shd w:val="clear" w:color="auto" w:fill="4A148C"/>
            <w:vAlign w:val="top"/>
          </w:tcPr>
          <w:p>
            <w:r/>
            <w:r>
              <w:rPr>
                <w:rFonts w:ascii="Calibri" w:hAnsi="Calibri"/>
                <w:b/>
                <w:i w:val="0"/>
                <w:color w:val="FFFFFF"/>
                <w:sz w:val="18"/>
              </w:rPr>
              <w:t>Remediation</w:t>
            </w:r>
          </w:p>
        </w:tc>
        <w:tc>
          <w:tcPr>
            <w:tcW w:type="dxa" w:w="1994"/>
            <w:shd w:val="clear" w:color="auto" w:fill="4A148C"/>
            <w:vAlign w:val="top"/>
          </w:tcPr>
          <w:p>
            <w:r/>
            <w:r>
              <w:rPr>
                <w:rFonts w:ascii="Calibri" w:hAnsi="Calibri"/>
                <w:b/>
                <w:i w:val="0"/>
                <w:color w:val="FFFFFF"/>
                <w:sz w:val="18"/>
              </w:rPr>
              <w:t>Effort</w:t>
            </w:r>
          </w:p>
        </w:tc>
      </w:tr>
      <w:tr>
        <w:tc>
          <w:tcPr>
            <w:tcW w:type="dxa" w:w="1994"/>
            <w:vAlign w:val="top"/>
          </w:tcPr>
          <w:p>
            <w:r/>
            <w:r>
              <w:rPr>
                <w:rFonts w:ascii="Calibri" w:hAnsi="Calibri"/>
                <w:b w:val="0"/>
                <w:i w:val="0"/>
                <w:color w:val="000000"/>
                <w:sz w:val="18"/>
              </w:rPr>
              <w:t>SEC-04</w:t>
            </w:r>
          </w:p>
        </w:tc>
        <w:tc>
          <w:tcPr>
            <w:tcW w:type="dxa" w:w="1994"/>
            <w:vAlign w:val="top"/>
          </w:tcPr>
          <w:p>
            <w:r/>
            <w:r>
              <w:rPr>
                <w:rFonts w:ascii="Calibri" w:hAnsi="Calibri"/>
                <w:b w:val="0"/>
                <w:i w:val="0"/>
                <w:color w:val="000000"/>
                <w:sz w:val="18"/>
              </w:rPr>
              <w:t>No token revocation</w:t>
            </w:r>
          </w:p>
        </w:tc>
        <w:tc>
          <w:tcPr>
            <w:tcW w:type="dxa" w:w="1994"/>
            <w:vAlign w:val="top"/>
          </w:tcPr>
          <w:p>
            <w:r/>
            <w:r>
              <w:rPr>
                <w:rFonts w:ascii="Calibri" w:hAnsi="Calibri"/>
                <w:b w:val="0"/>
                <w:i w:val="0"/>
                <w:color w:val="000000"/>
                <w:sz w:val="18"/>
              </w:rPr>
              <w:t>No /logout; compromised JWT remains valid until exp.</w:t>
            </w:r>
          </w:p>
        </w:tc>
        <w:tc>
          <w:tcPr>
            <w:tcW w:type="dxa" w:w="1994"/>
            <w:vAlign w:val="top"/>
          </w:tcPr>
          <w:p>
            <w:r/>
            <w:r>
              <w:rPr>
                <w:rFonts w:ascii="Calibri" w:hAnsi="Calibri"/>
                <w:b w:val="0"/>
                <w:i w:val="0"/>
                <w:color w:val="000000"/>
                <w:sz w:val="18"/>
              </w:rPr>
              <w:t>Redis-backed denylist; expose /auth/logout endpoint.</w:t>
            </w:r>
          </w:p>
        </w:tc>
        <w:tc>
          <w:tcPr>
            <w:tcW w:type="dxa" w:w="1994"/>
            <w:vAlign w:val="top"/>
          </w:tcPr>
          <w:p>
            <w:r/>
            <w:r>
              <w:rPr>
                <w:rFonts w:ascii="Calibri" w:hAnsi="Calibri"/>
                <w:b w:val="0"/>
                <w:i w:val="0"/>
                <w:color w:val="000000"/>
                <w:sz w:val="18"/>
              </w:rPr>
              <w:t>3 days</w:t>
            </w:r>
          </w:p>
        </w:tc>
      </w:tr>
      <w:tr>
        <w:tc>
          <w:tcPr>
            <w:tcW w:type="dxa" w:w="1994"/>
            <w:vAlign w:val="top"/>
          </w:tcPr>
          <w:p>
            <w:r/>
            <w:r>
              <w:rPr>
                <w:rFonts w:ascii="Calibri" w:hAnsi="Calibri"/>
                <w:b w:val="0"/>
                <w:i w:val="0"/>
                <w:color w:val="000000"/>
                <w:sz w:val="18"/>
              </w:rPr>
              <w:t>SEC-05</w:t>
            </w:r>
          </w:p>
        </w:tc>
        <w:tc>
          <w:tcPr>
            <w:tcW w:type="dxa" w:w="1994"/>
            <w:vAlign w:val="top"/>
          </w:tcPr>
          <w:p>
            <w:r/>
            <w:r>
              <w:rPr>
                <w:rFonts w:ascii="Calibri" w:hAnsi="Calibri"/>
                <w:b w:val="0"/>
                <w:i w:val="0"/>
                <w:color w:val="000000"/>
                <w:sz w:val="18"/>
              </w:rPr>
              <w:t>PII / PHI not filtered</w:t>
            </w:r>
          </w:p>
        </w:tc>
        <w:tc>
          <w:tcPr>
            <w:tcW w:type="dxa" w:w="1994"/>
            <w:vAlign w:val="top"/>
          </w:tcPr>
          <w:p>
            <w:r/>
            <w:r>
              <w:rPr>
                <w:rFonts w:ascii="Calibri" w:hAnsi="Calibri"/>
                <w:b w:val="0"/>
                <w:i w:val="0"/>
                <w:color w:val="000000"/>
                <w:sz w:val="18"/>
              </w:rPr>
              <w:t>No redaction in prompts or responses; regulatory risk.</w:t>
            </w:r>
          </w:p>
        </w:tc>
        <w:tc>
          <w:tcPr>
            <w:tcW w:type="dxa" w:w="1994"/>
            <w:vAlign w:val="top"/>
          </w:tcPr>
          <w:p>
            <w:r/>
            <w:r>
              <w:rPr>
                <w:rFonts w:ascii="Calibri" w:hAnsi="Calibri"/>
                <w:b w:val="0"/>
                <w:i w:val="0"/>
                <w:color w:val="000000"/>
                <w:sz w:val="18"/>
              </w:rPr>
              <w:t>AWS Comprehend PII detection middleware on prompts and responses.</w:t>
            </w:r>
          </w:p>
        </w:tc>
        <w:tc>
          <w:tcPr>
            <w:tcW w:type="dxa" w:w="1994"/>
            <w:vAlign w:val="top"/>
          </w:tcPr>
          <w:p>
            <w:r/>
            <w:r>
              <w:rPr>
                <w:rFonts w:ascii="Calibri" w:hAnsi="Calibri"/>
                <w:b w:val="0"/>
                <w:i w:val="0"/>
                <w:color w:val="000000"/>
                <w:sz w:val="18"/>
              </w:rPr>
              <w:t>5 days</w:t>
            </w:r>
          </w:p>
        </w:tc>
      </w:tr>
      <w:tr>
        <w:tc>
          <w:tcPr>
            <w:tcW w:type="dxa" w:w="1994"/>
            <w:vAlign w:val="top"/>
          </w:tcPr>
          <w:p>
            <w:r/>
            <w:r>
              <w:rPr>
                <w:rFonts w:ascii="Calibri" w:hAnsi="Calibri"/>
                <w:b w:val="0"/>
                <w:i w:val="0"/>
                <w:color w:val="000000"/>
                <w:sz w:val="18"/>
              </w:rPr>
              <w:t>DB-02</w:t>
            </w:r>
          </w:p>
        </w:tc>
        <w:tc>
          <w:tcPr>
            <w:tcW w:type="dxa" w:w="1994"/>
            <w:vAlign w:val="top"/>
          </w:tcPr>
          <w:p>
            <w:r/>
            <w:r>
              <w:rPr>
                <w:rFonts w:ascii="Calibri" w:hAnsi="Calibri"/>
                <w:b w:val="0"/>
                <w:i w:val="0"/>
                <w:color w:val="000000"/>
                <w:sz w:val="18"/>
              </w:rPr>
              <w:t>No explicit Neo4j connection-pool sizing</w:t>
            </w:r>
          </w:p>
        </w:tc>
        <w:tc>
          <w:tcPr>
            <w:tcW w:type="dxa" w:w="1994"/>
            <w:vAlign w:val="top"/>
          </w:tcPr>
          <w:p>
            <w:r/>
            <w:r>
              <w:rPr>
                <w:rFonts w:ascii="Calibri" w:hAnsi="Calibri"/>
                <w:b w:val="0"/>
                <w:i w:val="0"/>
                <w:color w:val="000000"/>
                <w:sz w:val="18"/>
              </w:rPr>
              <w:t>Pool defaults limit concurrent throughput.</w:t>
            </w:r>
          </w:p>
        </w:tc>
        <w:tc>
          <w:tcPr>
            <w:tcW w:type="dxa" w:w="1994"/>
            <w:vAlign w:val="top"/>
          </w:tcPr>
          <w:p>
            <w:r/>
            <w:r>
              <w:rPr>
                <w:rFonts w:ascii="Calibri" w:hAnsi="Calibri"/>
                <w:b w:val="0"/>
                <w:i w:val="0"/>
                <w:color w:val="000000"/>
                <w:sz w:val="18"/>
              </w:rPr>
              <w:t>Tune pool_size against load tests.</w:t>
            </w:r>
          </w:p>
        </w:tc>
        <w:tc>
          <w:tcPr>
            <w:tcW w:type="dxa" w:w="1994"/>
            <w:vAlign w:val="top"/>
          </w:tcPr>
          <w:p>
            <w:r/>
            <w:r>
              <w:rPr>
                <w:rFonts w:ascii="Calibri" w:hAnsi="Calibri"/>
                <w:b w:val="0"/>
                <w:i w:val="0"/>
                <w:color w:val="000000"/>
                <w:sz w:val="18"/>
              </w:rPr>
              <w:t>0.5 day</w:t>
            </w:r>
          </w:p>
        </w:tc>
      </w:tr>
      <w:tr>
        <w:tc>
          <w:tcPr>
            <w:tcW w:type="dxa" w:w="1994"/>
            <w:vAlign w:val="top"/>
          </w:tcPr>
          <w:p>
            <w:r/>
            <w:r>
              <w:rPr>
                <w:rFonts w:ascii="Calibri" w:hAnsi="Calibri"/>
                <w:b w:val="0"/>
                <w:i w:val="0"/>
                <w:color w:val="000000"/>
                <w:sz w:val="18"/>
              </w:rPr>
              <w:t>DB-03</w:t>
            </w:r>
          </w:p>
        </w:tc>
        <w:tc>
          <w:tcPr>
            <w:tcW w:type="dxa" w:w="1994"/>
            <w:vAlign w:val="top"/>
          </w:tcPr>
          <w:p>
            <w:r/>
            <w:r>
              <w:rPr>
                <w:rFonts w:ascii="Calibri" w:hAnsi="Calibri"/>
                <w:b w:val="0"/>
                <w:i w:val="0"/>
                <w:color w:val="000000"/>
                <w:sz w:val="18"/>
              </w:rPr>
              <w:t>No deep-pagination offset cap</w:t>
            </w:r>
          </w:p>
        </w:tc>
        <w:tc>
          <w:tcPr>
            <w:tcW w:type="dxa" w:w="1994"/>
            <w:vAlign w:val="top"/>
          </w:tcPr>
          <w:p>
            <w:r/>
            <w:r>
              <w:rPr>
                <w:rFonts w:ascii="Calibri" w:hAnsi="Calibri"/>
                <w:b w:val="0"/>
                <w:i w:val="0"/>
                <w:color w:val="000000"/>
                <w:sz w:val="18"/>
              </w:rPr>
              <w:t>Unbounded OFFSET enables slow scans.</w:t>
            </w:r>
          </w:p>
        </w:tc>
        <w:tc>
          <w:tcPr>
            <w:tcW w:type="dxa" w:w="1994"/>
            <w:vAlign w:val="top"/>
          </w:tcPr>
          <w:p>
            <w:r/>
            <w:r>
              <w:rPr>
                <w:rFonts w:ascii="Calibri" w:hAnsi="Calibri"/>
                <w:b w:val="0"/>
                <w:i w:val="0"/>
                <w:color w:val="000000"/>
                <w:sz w:val="18"/>
              </w:rPr>
              <w:t>Reject OFFSET &gt; 100,000 in pagination utility.</w:t>
            </w:r>
          </w:p>
        </w:tc>
        <w:tc>
          <w:tcPr>
            <w:tcW w:type="dxa" w:w="1994"/>
            <w:vAlign w:val="top"/>
          </w:tcPr>
          <w:p>
            <w:r/>
            <w:r>
              <w:rPr>
                <w:rFonts w:ascii="Calibri" w:hAnsi="Calibri"/>
                <w:b w:val="0"/>
                <w:i w:val="0"/>
                <w:color w:val="000000"/>
                <w:sz w:val="18"/>
              </w:rPr>
              <w:t>0.5 day</w:t>
            </w:r>
          </w:p>
        </w:tc>
      </w:tr>
      <w:tr>
        <w:tc>
          <w:tcPr>
            <w:tcW w:type="dxa" w:w="1994"/>
            <w:vAlign w:val="top"/>
          </w:tcPr>
          <w:p>
            <w:r/>
            <w:r>
              <w:rPr>
                <w:rFonts w:ascii="Calibri" w:hAnsi="Calibri"/>
                <w:b w:val="0"/>
                <w:i w:val="0"/>
                <w:color w:val="000000"/>
                <w:sz w:val="18"/>
              </w:rPr>
              <w:t>AGT-06</w:t>
            </w:r>
          </w:p>
        </w:tc>
        <w:tc>
          <w:tcPr>
            <w:tcW w:type="dxa" w:w="1994"/>
            <w:vAlign w:val="top"/>
          </w:tcPr>
          <w:p>
            <w:r/>
            <w:r>
              <w:rPr>
                <w:rFonts w:ascii="Calibri" w:hAnsi="Calibri"/>
                <w:b w:val="0"/>
                <w:i w:val="0"/>
                <w:color w:val="000000"/>
                <w:sz w:val="18"/>
              </w:rPr>
              <w:t>FileSessionManager — no recovery, no cleanup</w:t>
            </w:r>
          </w:p>
        </w:tc>
        <w:tc>
          <w:tcPr>
            <w:tcW w:type="dxa" w:w="1994"/>
            <w:vAlign w:val="top"/>
          </w:tcPr>
          <w:p>
            <w:r/>
            <w:r>
              <w:rPr>
                <w:rFonts w:ascii="Calibri" w:hAnsi="Calibri"/>
                <w:b w:val="0"/>
                <w:i w:val="0"/>
                <w:color w:val="000000"/>
                <w:sz w:val="18"/>
              </w:rPr>
              <w:t>Disk-based sessions; concurrent writes contend; no purge.</w:t>
            </w:r>
          </w:p>
        </w:tc>
        <w:tc>
          <w:tcPr>
            <w:tcW w:type="dxa" w:w="1994"/>
            <w:vAlign w:val="top"/>
          </w:tcPr>
          <w:p>
            <w:r/>
            <w:r>
              <w:rPr>
                <w:rFonts w:ascii="Calibri" w:hAnsi="Calibri"/>
                <w:b w:val="0"/>
                <w:i w:val="0"/>
                <w:color w:val="000000"/>
                <w:sz w:val="18"/>
              </w:rPr>
              <w:t>fcntl locking now; migrate to DynamoDB / Redis.</w:t>
            </w:r>
          </w:p>
        </w:tc>
        <w:tc>
          <w:tcPr>
            <w:tcW w:type="dxa" w:w="1994"/>
            <w:vAlign w:val="top"/>
          </w:tcPr>
          <w:p>
            <w:r/>
            <w:r>
              <w:rPr>
                <w:rFonts w:ascii="Calibri" w:hAnsi="Calibri"/>
                <w:b w:val="0"/>
                <w:i w:val="0"/>
                <w:color w:val="000000"/>
                <w:sz w:val="18"/>
              </w:rPr>
              <w:t>2 days</w:t>
            </w:r>
          </w:p>
        </w:tc>
      </w:tr>
      <w:tr>
        <w:tc>
          <w:tcPr>
            <w:tcW w:type="dxa" w:w="1994"/>
            <w:vAlign w:val="top"/>
          </w:tcPr>
          <w:p>
            <w:r/>
            <w:r>
              <w:rPr>
                <w:rFonts w:ascii="Calibri" w:hAnsi="Calibri"/>
                <w:b w:val="0"/>
                <w:i w:val="0"/>
                <w:color w:val="000000"/>
                <w:sz w:val="18"/>
              </w:rPr>
              <w:t>GRAPH-01</w:t>
            </w:r>
          </w:p>
        </w:tc>
        <w:tc>
          <w:tcPr>
            <w:tcW w:type="dxa" w:w="1994"/>
            <w:vAlign w:val="top"/>
          </w:tcPr>
          <w:p>
            <w:r/>
            <w:r>
              <w:rPr>
                <w:rFonts w:ascii="Calibri" w:hAnsi="Calibri"/>
                <w:b w:val="0"/>
                <w:i w:val="0"/>
                <w:color w:val="000000"/>
                <w:sz w:val="18"/>
              </w:rPr>
              <w:t>No graph statistics dashboard</w:t>
            </w:r>
          </w:p>
        </w:tc>
        <w:tc>
          <w:tcPr>
            <w:tcW w:type="dxa" w:w="1994"/>
            <w:vAlign w:val="top"/>
          </w:tcPr>
          <w:p>
            <w:r/>
            <w:r>
              <w:rPr>
                <w:rFonts w:ascii="Calibri" w:hAnsi="Calibri"/>
                <w:b w:val="0"/>
                <w:i w:val="0"/>
                <w:color w:val="000000"/>
                <w:sz w:val="18"/>
              </w:rPr>
              <w:t>Node / edge counts and growth rate not surfaced.</w:t>
            </w:r>
          </w:p>
        </w:tc>
        <w:tc>
          <w:tcPr>
            <w:tcW w:type="dxa" w:w="1994"/>
            <w:vAlign w:val="top"/>
          </w:tcPr>
          <w:p>
            <w:r/>
            <w:r>
              <w:rPr>
                <w:rFonts w:ascii="Calibri" w:hAnsi="Calibri"/>
                <w:b w:val="0"/>
                <w:i w:val="0"/>
                <w:color w:val="000000"/>
                <w:sz w:val="18"/>
              </w:rPr>
              <w:t>Add /stats/graph endpoint and a small dashboard.</w:t>
            </w:r>
          </w:p>
        </w:tc>
        <w:tc>
          <w:tcPr>
            <w:tcW w:type="dxa" w:w="1994"/>
            <w:vAlign w:val="top"/>
          </w:tcPr>
          <w:p>
            <w:r/>
            <w:r>
              <w:rPr>
                <w:rFonts w:ascii="Calibri" w:hAnsi="Calibri"/>
                <w:b w:val="0"/>
                <w:i w:val="0"/>
                <w:color w:val="000000"/>
                <w:sz w:val="18"/>
              </w:rPr>
              <w:t>1 day</w:t>
            </w:r>
          </w:p>
        </w:tc>
      </w:tr>
      <w:tr>
        <w:tc>
          <w:tcPr>
            <w:tcW w:type="dxa" w:w="1994"/>
            <w:vAlign w:val="top"/>
          </w:tcPr>
          <w:p>
            <w:r/>
            <w:r>
              <w:rPr>
                <w:rFonts w:ascii="Calibri" w:hAnsi="Calibri"/>
                <w:b w:val="0"/>
                <w:i w:val="0"/>
                <w:color w:val="000000"/>
                <w:sz w:val="18"/>
              </w:rPr>
              <w:t>GRAPH-02</w:t>
            </w:r>
          </w:p>
        </w:tc>
        <w:tc>
          <w:tcPr>
            <w:tcW w:type="dxa" w:w="1994"/>
            <w:vAlign w:val="top"/>
          </w:tcPr>
          <w:p>
            <w:r/>
            <w:r>
              <w:rPr>
                <w:rFonts w:ascii="Calibri" w:hAnsi="Calibri"/>
                <w:b w:val="0"/>
                <w:i w:val="0"/>
                <w:color w:val="000000"/>
                <w:sz w:val="18"/>
              </w:rPr>
              <w:t>Graph data freshness not tracked</w:t>
            </w:r>
          </w:p>
        </w:tc>
        <w:tc>
          <w:tcPr>
            <w:tcW w:type="dxa" w:w="1994"/>
            <w:vAlign w:val="top"/>
          </w:tcPr>
          <w:p>
            <w:r/>
            <w:r>
              <w:rPr>
                <w:rFonts w:ascii="Calibri" w:hAnsi="Calibri"/>
                <w:b w:val="0"/>
                <w:i w:val="0"/>
                <w:color w:val="000000"/>
                <w:sz w:val="18"/>
              </w:rPr>
              <w:t>No last_updated on nodes; staleness not detectable.</w:t>
            </w:r>
          </w:p>
        </w:tc>
        <w:tc>
          <w:tcPr>
            <w:tcW w:type="dxa" w:w="1994"/>
            <w:vAlign w:val="top"/>
          </w:tcPr>
          <w:p>
            <w:r/>
            <w:r>
              <w:rPr>
                <w:rFonts w:ascii="Calibri" w:hAnsi="Calibri"/>
                <w:b w:val="0"/>
                <w:i w:val="0"/>
                <w:color w:val="000000"/>
                <w:sz w:val="18"/>
              </w:rPr>
              <w:t>Add last_updated property; expose in /stats.</w:t>
            </w:r>
          </w:p>
        </w:tc>
        <w:tc>
          <w:tcPr>
            <w:tcW w:type="dxa" w:w="1994"/>
            <w:vAlign w:val="top"/>
          </w:tcPr>
          <w:p>
            <w:r/>
            <w:r>
              <w:rPr>
                <w:rFonts w:ascii="Calibri" w:hAnsi="Calibri"/>
                <w:b w:val="0"/>
                <w:i w:val="0"/>
                <w:color w:val="000000"/>
                <w:sz w:val="18"/>
              </w:rPr>
              <w:t>2 days</w:t>
            </w:r>
          </w:p>
        </w:tc>
      </w:tr>
    </w:tbl>
    <w:p/>
    <w:p>
      <w:pPr>
        <w:spacing w:before="280" w:after="160"/>
        <w:outlineLvl w:val="1"/>
      </w:pPr>
      <w:r>
        <w:rPr>
          <w:rFonts w:ascii="Calibri" w:hAnsi="Calibri"/>
          <w:b/>
          <w:i w:val="0"/>
          <w:color w:val="1B3A6B"/>
          <w:sz w:val="34"/>
        </w:rPr>
        <w:t>13.  Operational, Data, and Experience Gaps</w:t>
      </w:r>
    </w:p>
    <w:p>
      <w:pPr>
        <w:spacing w:before="200" w:after="80"/>
        <w:outlineLvl w:val="2"/>
      </w:pPr>
      <w:r>
        <w:rPr>
          <w:rFonts w:ascii="Calibri" w:hAnsi="Calibri"/>
          <w:b/>
          <w:i w:val="0"/>
          <w:color w:val="2E6DA4"/>
          <w:sz w:val="26"/>
        </w:rPr>
        <w:t>13.1  Data Loading Gaps</w:t>
      </w:r>
    </w:p>
    <w:p>
      <w:pPr>
        <w:spacing w:before="120" w:after="160"/>
        <w:ind w:left="283" w:right="283"/>
        <w:shd w:val="clear" w:color="auto" w:fill="FFF3E0"/>
      </w:pPr>
      <w:r>
        <w:rPr>
          <w:rFonts w:ascii="Calibri" w:hAnsi="Calibri"/>
          <w:b w:val="0"/>
          <w:i/>
          <w:color w:val="A6192E"/>
          <w:sz w:val="20"/>
        </w:rPr>
        <w:t>⚑  USPTO patents count is currently zero in production (data deleted, never reloaded). PubMed count is currently zero (partial ingestion abandoned). Therapeutic-area subgroup counts are currently zero. These gaps are documented in the maintenance runbook and addressed in the data-readiness backlog.</w:t>
      </w:r>
    </w:p>
    <w:p>
      <w:pPr>
        <w:spacing w:before="200" w:after="80"/>
        <w:outlineLvl w:val="2"/>
      </w:pPr>
      <w:r>
        <w:rPr>
          <w:rFonts w:ascii="Calibri" w:hAnsi="Calibri"/>
          <w:b/>
          <w:i w:val="0"/>
          <w:color w:val="2E6DA4"/>
          <w:sz w:val="26"/>
        </w:rPr>
        <w:t>13.2  Operational Gaps</w:t>
      </w:r>
    </w:p>
    <w:p>
      <w:pPr>
        <w:pStyle w:val="ListBullet"/>
        <w:spacing w:after="40"/>
      </w:pPr>
      <w:r>
        <w:rPr>
          <w:rFonts w:ascii="Calibri" w:hAnsi="Calibri"/>
          <w:b w:val="0"/>
          <w:i w:val="0"/>
          <w:sz w:val="21"/>
        </w:rPr>
        <w:t>JWT signing-secret rotation is manual; no scheduled rotation.</w:t>
      </w:r>
    </w:p>
    <w:p>
      <w:pPr>
        <w:pStyle w:val="ListBullet"/>
        <w:spacing w:after="40"/>
      </w:pPr>
      <w:r>
        <w:rPr>
          <w:rFonts w:ascii="Calibri" w:hAnsi="Calibri"/>
          <w:b w:val="0"/>
          <w:i w:val="0"/>
          <w:sz w:val="21"/>
        </w:rPr>
        <w:t>Neo4j SSL certificate rotation is manual; expires near year-end.</w:t>
      </w:r>
    </w:p>
    <w:p>
      <w:pPr>
        <w:pStyle w:val="ListBullet"/>
        <w:spacing w:after="40"/>
      </w:pPr>
      <w:r>
        <w:rPr>
          <w:rFonts w:ascii="Calibri" w:hAnsi="Calibri"/>
          <w:b w:val="0"/>
          <w:i w:val="0"/>
          <w:sz w:val="21"/>
        </w:rPr>
        <w:t>Production Neo4j is provisioned manually on EC2; not yet Terraform-managed.</w:t>
      </w:r>
    </w:p>
    <w:p>
      <w:pPr>
        <w:pStyle w:val="ListBullet"/>
        <w:spacing w:after="40"/>
      </w:pPr>
      <w:r>
        <w:rPr>
          <w:rFonts w:ascii="Calibri" w:hAnsi="Calibri"/>
          <w:b w:val="0"/>
          <w:i w:val="0"/>
          <w:sz w:val="21"/>
        </w:rPr>
        <w:t>No automated S3 snapshot policy for Neo4j data.</w:t>
      </w:r>
    </w:p>
    <w:p>
      <w:pPr>
        <w:pStyle w:val="ListBullet"/>
        <w:spacing w:after="40"/>
      </w:pPr>
      <w:r>
        <w:rPr>
          <w:rFonts w:ascii="Calibri" w:hAnsi="Calibri"/>
          <w:b w:val="0"/>
          <w:i w:val="0"/>
          <w:sz w:val="21"/>
        </w:rPr>
        <w:t>No LLM cost instrumentation; per-query token consumption is not tracked.</w:t>
      </w:r>
    </w:p>
    <w:p>
      <w:pPr>
        <w:pStyle w:val="ListBullet"/>
        <w:spacing w:after="40"/>
      </w:pPr>
      <w:r>
        <w:rPr>
          <w:rFonts w:ascii="Calibri" w:hAnsi="Calibri"/>
          <w:b w:val="0"/>
          <w:i w:val="0"/>
          <w:sz w:val="21"/>
        </w:rPr>
        <w:t>API canaries cover only five of twenty Core API endpoints.</w:t>
      </w:r>
    </w:p>
    <w:p>
      <w:pPr>
        <w:spacing w:before="200" w:after="80"/>
        <w:outlineLvl w:val="2"/>
      </w:pPr>
      <w:r>
        <w:rPr>
          <w:rFonts w:ascii="Calibri" w:hAnsi="Calibri"/>
          <w:b/>
          <w:i w:val="0"/>
          <w:color w:val="2E6DA4"/>
          <w:sz w:val="26"/>
        </w:rPr>
        <w:t>13.3  Experience Gaps in the Streamlit UI</w:t>
      </w:r>
    </w:p>
    <w:p>
      <w:pPr>
        <w:pStyle w:val="ListBullet"/>
        <w:spacing w:after="40"/>
      </w:pPr>
      <w:r>
        <w:rPr>
          <w:rFonts w:ascii="Calibri" w:hAnsi="Calibri"/>
          <w:b w:val="0"/>
          <w:i w:val="0"/>
          <w:sz w:val="21"/>
        </w:rPr>
        <w:t>No conversation export (JSON, Markdown, PDF).</w:t>
      </w:r>
    </w:p>
    <w:p>
      <w:pPr>
        <w:pStyle w:val="ListBullet"/>
        <w:spacing w:after="40"/>
      </w:pPr>
      <w:r>
        <w:rPr>
          <w:rFonts w:ascii="Calibri" w:hAnsi="Calibri"/>
          <w:b w:val="0"/>
          <w:i w:val="0"/>
          <w:sz w:val="21"/>
        </w:rPr>
        <w:t>No citation panel or evidence drilldown.</w:t>
      </w:r>
    </w:p>
    <w:p>
      <w:pPr>
        <w:pStyle w:val="ListBullet"/>
        <w:spacing w:after="40"/>
      </w:pPr>
      <w:r>
        <w:rPr>
          <w:rFonts w:ascii="Calibri" w:hAnsi="Calibri"/>
          <w:b w:val="0"/>
          <w:i w:val="0"/>
          <w:sz w:val="21"/>
        </w:rPr>
        <w:t>No graph visualisation; the agent's reasoning trail is opaque.</w:t>
      </w:r>
    </w:p>
    <w:p>
      <w:pPr>
        <w:pStyle w:val="ListBullet"/>
        <w:spacing w:after="40"/>
      </w:pPr>
      <w:r>
        <w:rPr>
          <w:rFonts w:ascii="Calibri" w:hAnsi="Calibri"/>
          <w:b w:val="0"/>
          <w:i w:val="0"/>
          <w:sz w:val="21"/>
        </w:rPr>
        <w:t>No tool-call timeline or agent-decision lineage.</w:t>
      </w:r>
    </w:p>
    <w:p>
      <w:pPr>
        <w:pStyle w:val="ListBullet"/>
        <w:spacing w:after="40"/>
      </w:pPr>
      <w:r>
        <w:rPr>
          <w:rFonts w:ascii="Calibri" w:hAnsi="Calibri"/>
          <w:b w:val="0"/>
          <w:i w:val="0"/>
          <w:sz w:val="21"/>
        </w:rPr>
        <w:t>Limited accessibility primitives; no keyboard shortcuts.</w:t>
      </w:r>
    </w:p>
    <w:p>
      <w:pPr>
        <w:pStyle w:val="ListBullet"/>
        <w:spacing w:after="40"/>
      </w:pPr>
      <w:r>
        <w:rPr>
          <w:rFonts w:ascii="Calibri" w:hAnsi="Calibri"/>
          <w:b w:val="0"/>
          <w:i w:val="0"/>
          <w:sz w:val="21"/>
        </w:rPr>
        <w:t>Poor mobile responsiveness.</w:t>
      </w:r>
    </w:p>
    <w:p>
      <w:pPr>
        <w:pStyle w:val="ListBullet"/>
        <w:spacing w:after="40"/>
      </w:pPr>
      <w:r>
        <w:rPr>
          <w:rFonts w:ascii="Calibri" w:hAnsi="Calibri"/>
          <w:b w:val="0"/>
          <w:i w:val="0"/>
          <w:sz w:val="21"/>
        </w:rPr>
        <w:t>No light / dark theme; no system-prompt templates.</w:t>
      </w:r>
    </w:p>
    <w:p>
      <w:pPr>
        <w:spacing w:before="280" w:after="160"/>
        <w:outlineLvl w:val="1"/>
      </w:pPr>
      <w:r>
        <w:rPr>
          <w:rFonts w:ascii="Calibri" w:hAnsi="Calibri"/>
          <w:b/>
          <w:i w:val="0"/>
          <w:color w:val="1B3A6B"/>
          <w:sz w:val="34"/>
        </w:rPr>
        <w:t>14.  Architectural Strengths to Preserve</w:t>
      </w:r>
    </w:p>
    <w:p>
      <w:pPr>
        <w:spacing w:after="120"/>
        <w:jc w:val="both"/>
      </w:pPr>
      <w:r>
        <w:rPr>
          <w:rFonts w:ascii="Calibri" w:hAnsi="Calibri"/>
          <w:b w:val="0"/>
          <w:i w:val="0"/>
          <w:color w:val="000000"/>
          <w:sz w:val="21"/>
        </w:rPr>
        <w:t>The audit also surfaced six structural strengths. They are listed here so that the re-platforming work explicitly retains and amplifies them rather than refactoring them away.</w:t>
      </w:r>
    </w:p>
    <w:tbl>
      <w:tblPr>
        <w:tblStyle w:val="LightGrid-Accent1"/>
        <w:tblW w:type="auto" w:w="0"/>
        <w:jc w:val="center"/>
        <w:tblLook w:firstColumn="1" w:firstRow="1" w:lastColumn="0" w:lastRow="0" w:noHBand="0" w:noVBand="1" w:val="04A0"/>
      </w:tblPr>
      <w:tblGrid>
        <w:gridCol w:w="4986"/>
        <w:gridCol w:w="4986"/>
      </w:tblGrid>
      <w:tr>
        <w:tc>
          <w:tcPr>
            <w:tcW w:type="dxa" w:w="4986"/>
            <w:shd w:val="clear" w:color="auto" w:fill="1B5E20"/>
            <w:vAlign w:val="top"/>
          </w:tcPr>
          <w:p>
            <w:r/>
            <w:r>
              <w:rPr>
                <w:rFonts w:ascii="Calibri" w:hAnsi="Calibri"/>
                <w:b/>
                <w:i w:val="0"/>
                <w:color w:val="FFFFFF"/>
                <w:sz w:val="18"/>
              </w:rPr>
              <w:t>Strength</w:t>
            </w:r>
          </w:p>
        </w:tc>
        <w:tc>
          <w:tcPr>
            <w:tcW w:type="dxa" w:w="4986"/>
            <w:shd w:val="clear" w:color="auto" w:fill="1B5E20"/>
            <w:vAlign w:val="top"/>
          </w:tcPr>
          <w:p>
            <w:r/>
            <w:r>
              <w:rPr>
                <w:rFonts w:ascii="Calibri" w:hAnsi="Calibri"/>
                <w:b/>
                <w:i w:val="0"/>
                <w:color w:val="FFFFFF"/>
                <w:sz w:val="18"/>
              </w:rPr>
              <w:t>Detail</w:t>
            </w:r>
          </w:p>
        </w:tc>
      </w:tr>
      <w:tr>
        <w:tc>
          <w:tcPr>
            <w:tcW w:type="dxa" w:w="4986"/>
            <w:vAlign w:val="top"/>
          </w:tcPr>
          <w:p>
            <w:r/>
            <w:r>
              <w:rPr>
                <w:rFonts w:ascii="Calibri" w:hAnsi="Calibri"/>
                <w:b w:val="0"/>
                <w:i w:val="0"/>
                <w:color w:val="000000"/>
                <w:sz w:val="18"/>
              </w:rPr>
              <w:t>Clean DDD + Hexagonal Architecture</w:t>
            </w:r>
          </w:p>
        </w:tc>
        <w:tc>
          <w:tcPr>
            <w:tcW w:type="dxa" w:w="4986"/>
            <w:vAlign w:val="top"/>
          </w:tcPr>
          <w:p>
            <w:r/>
            <w:r>
              <w:rPr>
                <w:rFonts w:ascii="Calibri" w:hAnsi="Calibri"/>
                <w:b w:val="0"/>
                <w:i w:val="0"/>
                <w:color w:val="000000"/>
                <w:sz w:val="18"/>
              </w:rPr>
              <w:t>Domain-driven layering with explicit ports and adapters; testable, swappable, well-named.</w:t>
            </w:r>
          </w:p>
        </w:tc>
      </w:tr>
      <w:tr>
        <w:tc>
          <w:tcPr>
            <w:tcW w:type="dxa" w:w="4986"/>
            <w:vAlign w:val="top"/>
          </w:tcPr>
          <w:p>
            <w:r/>
            <w:r>
              <w:rPr>
                <w:rFonts w:ascii="Calibri" w:hAnsi="Calibri"/>
                <w:b w:val="0"/>
                <w:i w:val="0"/>
                <w:color w:val="000000"/>
                <w:sz w:val="18"/>
              </w:rPr>
              <w:t>Comprehensive Knowledge Graph Ontology</w:t>
            </w:r>
          </w:p>
        </w:tc>
        <w:tc>
          <w:tcPr>
            <w:tcW w:type="dxa" w:w="4986"/>
            <w:vAlign w:val="top"/>
          </w:tcPr>
          <w:p>
            <w:r/>
            <w:r>
              <w:rPr>
                <w:rFonts w:ascii="Calibri" w:hAnsi="Calibri"/>
                <w:b w:val="0"/>
                <w:i w:val="0"/>
                <w:color w:val="000000"/>
                <w:sz w:val="18"/>
              </w:rPr>
              <w:t>Forty-four node types and thirty-one relationship types unify USPTO, PubMed, trials, drugs, deals.</w:t>
            </w:r>
          </w:p>
        </w:tc>
      </w:tr>
      <w:tr>
        <w:tc>
          <w:tcPr>
            <w:tcW w:type="dxa" w:w="4986"/>
            <w:vAlign w:val="top"/>
          </w:tcPr>
          <w:p>
            <w:r/>
            <w:r>
              <w:rPr>
                <w:rFonts w:ascii="Calibri" w:hAnsi="Calibri"/>
                <w:b w:val="0"/>
                <w:i w:val="0"/>
                <w:color w:val="000000"/>
                <w:sz w:val="18"/>
              </w:rPr>
              <w:t>Dual LLM Provider with Auto-Detect</w:t>
            </w:r>
          </w:p>
        </w:tc>
        <w:tc>
          <w:tcPr>
            <w:tcW w:type="dxa" w:w="4986"/>
            <w:vAlign w:val="top"/>
          </w:tcPr>
          <w:p>
            <w:r/>
            <w:r>
              <w:rPr>
                <w:rFonts w:ascii="Calibri" w:hAnsi="Calibri"/>
                <w:b w:val="0"/>
                <w:i w:val="0"/>
                <w:color w:val="000000"/>
                <w:sz w:val="18"/>
              </w:rPr>
              <w:t>Anthropic / OpenAI hot-swap on a single env switch; resilience and cost flexibility.</w:t>
            </w:r>
          </w:p>
        </w:tc>
      </w:tr>
      <w:tr>
        <w:tc>
          <w:tcPr>
            <w:tcW w:type="dxa" w:w="4986"/>
            <w:vAlign w:val="top"/>
          </w:tcPr>
          <w:p>
            <w:r/>
            <w:r>
              <w:rPr>
                <w:rFonts w:ascii="Calibri" w:hAnsi="Calibri"/>
                <w:b w:val="0"/>
                <w:i w:val="0"/>
                <w:color w:val="000000"/>
                <w:sz w:val="18"/>
              </w:rPr>
              <w:t>Stateless MCP Server</w:t>
            </w:r>
          </w:p>
        </w:tc>
        <w:tc>
          <w:tcPr>
            <w:tcW w:type="dxa" w:w="4986"/>
            <w:vAlign w:val="top"/>
          </w:tcPr>
          <w:p>
            <w:r/>
            <w:r>
              <w:rPr>
                <w:rFonts w:ascii="Calibri" w:hAnsi="Calibri"/>
                <w:b w:val="0"/>
                <w:i w:val="0"/>
                <w:color w:val="000000"/>
                <w:sz w:val="18"/>
              </w:rPr>
              <w:t>FastMCP with stateless_http=True; trivially horizontally scalable.</w:t>
            </w:r>
          </w:p>
        </w:tc>
      </w:tr>
      <w:tr>
        <w:tc>
          <w:tcPr>
            <w:tcW w:type="dxa" w:w="4986"/>
            <w:vAlign w:val="top"/>
          </w:tcPr>
          <w:p>
            <w:r/>
            <w:r>
              <w:rPr>
                <w:rFonts w:ascii="Calibri" w:hAnsi="Calibri"/>
                <w:b w:val="0"/>
                <w:i w:val="0"/>
                <w:color w:val="000000"/>
                <w:sz w:val="18"/>
              </w:rPr>
              <w:t>Streaming SSE Architecture</w:t>
            </w:r>
          </w:p>
        </w:tc>
        <w:tc>
          <w:tcPr>
            <w:tcW w:type="dxa" w:w="4986"/>
            <w:vAlign w:val="top"/>
          </w:tcPr>
          <w:p>
            <w:r/>
            <w:r>
              <w:rPr>
                <w:rFonts w:ascii="Calibri" w:hAnsi="Calibri"/>
                <w:b w:val="0"/>
                <w:i w:val="0"/>
                <w:color w:val="000000"/>
                <w:sz w:val="18"/>
              </w:rPr>
              <w:t>Token-by-token UX; first-token latency drives perceived speed.</w:t>
            </w:r>
          </w:p>
        </w:tc>
      </w:tr>
      <w:tr>
        <w:tc>
          <w:tcPr>
            <w:tcW w:type="dxa" w:w="4986"/>
            <w:vAlign w:val="top"/>
          </w:tcPr>
          <w:p>
            <w:r/>
            <w:r>
              <w:rPr>
                <w:rFonts w:ascii="Calibri" w:hAnsi="Calibri"/>
                <w:b w:val="0"/>
                <w:i w:val="0"/>
                <w:color w:val="000000"/>
                <w:sz w:val="18"/>
              </w:rPr>
              <w:t>Parameterised Cypher; Two-Hop Cap</w:t>
            </w:r>
          </w:p>
        </w:tc>
        <w:tc>
          <w:tcPr>
            <w:tcW w:type="dxa" w:w="4986"/>
            <w:vAlign w:val="top"/>
          </w:tcPr>
          <w:p>
            <w:r/>
            <w:r>
              <w:rPr>
                <w:rFonts w:ascii="Calibri" w:hAnsi="Calibri"/>
                <w:b w:val="0"/>
                <w:i w:val="0"/>
                <w:color w:val="000000"/>
                <w:sz w:val="18"/>
              </w:rPr>
              <w:t>No injection risk; bounded query cost prevents pathological queries.</w:t>
            </w:r>
          </w:p>
        </w:tc>
      </w:tr>
    </w:tbl>
    <w:p/>
    <w:p>
      <w:r>
        <w:br w:type="page"/>
      </w:r>
    </w:p>
    <w:p>
      <w:pPr>
        <w:spacing w:before="360" w:after="240"/>
        <w:outlineLvl w:val="0"/>
      </w:pPr>
      <w:r>
        <w:rPr>
          <w:rFonts w:ascii="Calibri" w:hAnsi="Calibri"/>
          <w:b/>
          <w:i w:val="0"/>
          <w:color w:val="A6192E"/>
          <w:sz w:val="48"/>
        </w:rPr>
        <w:t>Section 5 — Technical Recommendations</w:t>
      </w:r>
    </w:p>
    <w:p>
      <w:r>
        <w:br w:type="page"/>
      </w:r>
    </w:p>
    <w:p>
      <w:pPr>
        <w:spacing w:before="280" w:after="160"/>
        <w:outlineLvl w:val="1"/>
      </w:pPr>
      <w:r>
        <w:rPr>
          <w:rFonts w:ascii="Calibri" w:hAnsi="Calibri"/>
          <w:b/>
          <w:i w:val="0"/>
          <w:color w:val="1B3A6B"/>
          <w:sz w:val="34"/>
        </w:rPr>
        <w:t>15.  Next-Generation Target Architecture</w:t>
      </w:r>
    </w:p>
    <w:p>
      <w:pPr>
        <w:spacing w:before="200" w:after="80"/>
        <w:outlineLvl w:val="2"/>
      </w:pPr>
      <w:r>
        <w:rPr>
          <w:rFonts w:ascii="Calibri" w:hAnsi="Calibri"/>
          <w:b/>
          <w:i w:val="0"/>
          <w:color w:val="2E6DA4"/>
          <w:sz w:val="26"/>
        </w:rPr>
        <w:t>15.1  Headline Picture</w:t>
      </w:r>
    </w:p>
    <w:p>
      <w:pPr>
        <w:spacing w:after="120"/>
        <w:jc w:val="both"/>
      </w:pPr>
      <w:r>
        <w:rPr>
          <w:rFonts w:ascii="Calibri" w:hAnsi="Calibri"/>
          <w:b w:val="0"/>
          <w:i w:val="0"/>
          <w:color w:val="000000"/>
          <w:sz w:val="21"/>
        </w:rPr>
        <w:t>The next-generation architecture (CSL_Arch_nextGen.pdf) re-imagines Eugene as one specialist agent within a CSL-owned orchestration layer running on AWS Bedrock AgentCore. The diagram below summarises the target state.</w:t>
      </w:r>
    </w:p>
    <w:p>
      <w:pPr>
        <w:jc w:val="center"/>
      </w:pPr>
      <w:r>
        <w:drawing>
          <wp:inline xmlns:a="http://schemas.openxmlformats.org/drawingml/2006/main" xmlns:pic="http://schemas.openxmlformats.org/drawingml/2006/picture">
            <wp:extent cx="5943600" cy="4021621"/>
            <wp:docPr id="12" name="Picture 12"/>
            <wp:cNvGraphicFramePr>
              <a:graphicFrameLocks noChangeAspect="1"/>
            </wp:cNvGraphicFramePr>
            <a:graphic>
              <a:graphicData uri="http://schemas.openxmlformats.org/drawingml/2006/picture">
                <pic:pic>
                  <pic:nvPicPr>
                    <pic:cNvPr id="0" name="image.png"/>
                    <pic:cNvPicPr/>
                  </pic:nvPicPr>
                  <pic:blipFill>
                    <a:blip r:embed="rId22"/>
                    <a:stretch>
                      <a:fillRect/>
                    </a:stretch>
                  </pic:blipFill>
                  <pic:spPr>
                    <a:xfrm>
                      <a:off x="0" y="0"/>
                      <a:ext cx="5943600" cy="4021621"/>
                    </a:xfrm>
                    <a:prstGeom prst="rect"/>
                  </pic:spPr>
                </pic:pic>
              </a:graphicData>
            </a:graphic>
          </wp:inline>
        </w:drawing>
      </w:r>
    </w:p>
    <w:p>
      <w:pPr>
        <w:spacing w:before="200" w:after="80"/>
        <w:outlineLvl w:val="2"/>
      </w:pPr>
      <w:r>
        <w:rPr>
          <w:rFonts w:ascii="Calibri" w:hAnsi="Calibri"/>
          <w:b/>
          <w:i w:val="0"/>
          <w:color w:val="2E6DA4"/>
          <w:sz w:val="26"/>
        </w:rPr>
        <w:t>15.2  Research Agent — End-to-End Reference Architecture</w:t>
      </w:r>
    </w:p>
    <w:p>
      <w:pPr>
        <w:spacing w:after="120"/>
        <w:jc w:val="both"/>
      </w:pPr>
      <w:r>
        <w:rPr>
          <w:rFonts w:ascii="Calibri" w:hAnsi="Calibri"/>
          <w:b w:val="0"/>
          <w:i w:val="0"/>
          <w:color w:val="000000"/>
          <w:sz w:val="21"/>
        </w:rPr>
        <w:t>The diagram below — sourced from &lt;font name='Courier'&gt;docs/CSL_Arch.drawio.svg&lt;/font&gt; — renders the complete CSL-owned Research Agent reference architecture in a single view. It maps every layer of the next-generation platform from the BD / Researcher persona through the CSL-owned orchestration and specialist agents, into AWS Bedrock AgentCore (Runtime, Memory, Observability) and the AgentCore Gateway, across the authoritative knowledge tier (Eugene Knowledge Graph plus dual storage with Milvus indexes and Neo4j embeddings), the CSL data tier (internal tacit knowledge in SharePoint, Confluence, deal memos and IC decisions; controlled-access eRooms / VDRs; external and partner feeds including the Prudentia Sciences platform; and public / licensed sources covering literature, trials, patents, financial and market data), and the cross-cutting Security, Identity and Governance services (Entra SSO, RBAC, security and compliance controls, hybrid cloud / AI runtime, AWS PrivateLink, CloudWatch, X-Ray, KMS, MFA, and Bedrock Guardrails).</w:t>
      </w:r>
    </w:p>
    <w:p>
      <w:r>
        <w:br w:type="page"/>
      </w:r>
    </w:p>
    <w:p>
      <w:pPr>
        <w:jc w:val="center"/>
      </w:pPr>
      <w:r>
        <w:drawing>
          <wp:inline xmlns:a="http://schemas.openxmlformats.org/drawingml/2006/main" xmlns:pic="http://schemas.openxmlformats.org/drawingml/2006/picture">
            <wp:extent cx="8686800" cy="4030085"/>
            <wp:docPr id="13" name="Picture 13"/>
            <wp:cNvGraphicFramePr>
              <a:graphicFrameLocks noChangeAspect="1"/>
            </wp:cNvGraphicFramePr>
            <a:graphic>
              <a:graphicData uri="http://schemas.openxmlformats.org/drawingml/2006/picture">
                <pic:pic>
                  <pic:nvPicPr>
                    <pic:cNvPr id="0" name="csl_arch_nextgen_research.png"/>
                    <pic:cNvPicPr/>
                  </pic:nvPicPr>
                  <pic:blipFill>
                    <a:blip r:embed="rId23"/>
                    <a:stretch>
                      <a:fillRect/>
                    </a:stretch>
                  </pic:blipFill>
                  <pic:spPr>
                    <a:xfrm>
                      <a:off x="0" y="0"/>
                      <a:ext cx="8686800" cy="4030085"/>
                    </a:xfrm>
                    <a:prstGeom prst="rect"/>
                  </pic:spPr>
                </pic:pic>
              </a:graphicData>
            </a:graphic>
          </wp:inline>
        </w:drawing>
      </w:r>
    </w:p>
    <w:p>
      <w:pPr>
        <w:jc w:val="center"/>
      </w:pPr>
      <w:r>
        <w:rPr>
          <w:rFonts w:ascii="Calibri" w:hAnsi="Calibri"/>
          <w:b w:val="0"/>
          <w:i/>
          <w:color w:val="424242"/>
          <w:sz w:val="18"/>
        </w:rPr>
        <w:t>Figure. CSL Research Agent — next-generation reference architecture (rendered from docs/CSL_Arch.drawio.svg).</w:t>
      </w:r>
    </w:p>
    <w:p>
      <w:r>
        <w:br w:type="page"/>
      </w:r>
    </w:p>
    <w:p>
      <w:pPr>
        <w:spacing w:after="120"/>
        <w:jc w:val="both"/>
      </w:pPr>
      <w:r>
        <w:rPr>
          <w:rFonts w:ascii="Calibri" w:hAnsi="Calibri"/>
          <w:b w:val="0"/>
          <w:i w:val="0"/>
          <w:color w:val="000000"/>
          <w:sz w:val="21"/>
        </w:rPr>
        <w:t>Three properties of this reference are worth highlighting for stakeholders. First, the Research Agent is one specialist within a CSL-owned orchestration layer — the Eugene Knowledge Graph remains the authoritative structured source, but the architecture admits additional specialists (PubMed, SEC, ClinicalTrials, ChEMBL, and future modalities) without re-platforming. Second, all service-to-service connectivity is mediated through the AgentCore Gateway — a single audit boundary for every agent action. Third, governance is unified: Bedrock Guardrails, customer-level data isolation, and contractual no-training commitments apply uniformly across every specialist, regardless of which underlying LLM is selected.</w:t>
      </w:r>
    </w:p>
    <w:p>
      <w:pPr>
        <w:spacing w:before="200" w:after="80"/>
        <w:outlineLvl w:val="2"/>
      </w:pPr>
      <w:r>
        <w:rPr>
          <w:rFonts w:ascii="Calibri" w:hAnsi="Calibri"/>
          <w:b/>
          <w:i w:val="0"/>
          <w:color w:val="2E6DA4"/>
          <w:sz w:val="26"/>
        </w:rPr>
        <w:t>15.3  Key Shifts From the Current State</w:t>
      </w:r>
    </w:p>
    <w:p>
      <w:pPr>
        <w:pStyle w:val="ListBullet"/>
        <w:spacing w:after="40"/>
      </w:pPr>
      <w:r>
        <w:rPr>
          <w:rFonts w:ascii="Calibri" w:hAnsi="Calibri"/>
          <w:b w:val="0"/>
          <w:i w:val="0"/>
          <w:sz w:val="21"/>
        </w:rPr>
        <w:t>Single agent → Supervisor + five specialists (Eugene, Research, PubMed, SEC, ClinicalTrials, Synthesis). Domain-optimised models and tool sets.</w:t>
      </w:r>
    </w:p>
    <w:p>
      <w:pPr>
        <w:pStyle w:val="ListBullet"/>
        <w:spacing w:after="40"/>
      </w:pPr>
      <w:r>
        <w:rPr>
          <w:rFonts w:ascii="Calibri" w:hAnsi="Calibri"/>
          <w:b w:val="0"/>
          <w:i w:val="0"/>
          <w:sz w:val="21"/>
        </w:rPr>
        <w:t>External LLM APIs → AWS Bedrock as the primary LLM runtime, with Anthropic as fallback. Data residency stays inside the AWS partition.</w:t>
      </w:r>
    </w:p>
    <w:p>
      <w:pPr>
        <w:pStyle w:val="ListBullet"/>
        <w:spacing w:after="40"/>
      </w:pPr>
      <w:r>
        <w:rPr>
          <w:rFonts w:ascii="Calibri" w:hAnsi="Calibri"/>
          <w:b w:val="0"/>
          <w:i w:val="0"/>
          <w:sz w:val="21"/>
        </w:rPr>
        <w:t>File-based sessions → AgentCore Memory (managed) or DynamoDB / ElastiCache. Durability and horizontal scale.</w:t>
      </w:r>
    </w:p>
    <w:p>
      <w:pPr>
        <w:pStyle w:val="ListBullet"/>
        <w:spacing w:after="40"/>
      </w:pPr>
      <w:r>
        <w:rPr>
          <w:rFonts w:ascii="Calibri" w:hAnsi="Calibri"/>
          <w:b w:val="0"/>
          <w:i w:val="0"/>
          <w:sz w:val="21"/>
        </w:rPr>
        <w:t>Graph-only retrieval → Graph + Bedrock Knowledge Base + Milvus + SharePoint / Confluence / eRooms. Eugene becomes the authoritative structured source; unstructured CSL knowledge is retrieved via Bedrock KB; deal-room artefacts via controlled-access policies.</w:t>
      </w:r>
    </w:p>
    <w:p>
      <w:pPr>
        <w:pStyle w:val="ListBullet"/>
        <w:spacing w:after="40"/>
      </w:pPr>
      <w:r>
        <w:rPr>
          <w:rFonts w:ascii="Calibri" w:hAnsi="Calibri"/>
          <w:b w:val="0"/>
          <w:i w:val="0"/>
          <w:sz w:val="21"/>
        </w:rPr>
        <w:t>Basic logging → AgentCore Observability + CloudWatch + X-Ray. Distributed tracing, structured logs, and metrics with unified alerting.</w:t>
      </w:r>
    </w:p>
    <w:p>
      <w:pPr>
        <w:pStyle w:val="ListBullet"/>
        <w:spacing w:after="40"/>
      </w:pPr>
      <w:r>
        <w:rPr>
          <w:rFonts w:ascii="Calibri" w:hAnsi="Calibri"/>
          <w:b w:val="0"/>
          <w:i w:val="0"/>
          <w:sz w:val="21"/>
        </w:rPr>
        <w:t>12 MCP tools → 16+ tools spanning PubMed, SEC EDGAR, ClinicalTrials, ChEMBL, plus the existing Eugene tool set.</w:t>
      </w:r>
    </w:p>
    <w:p>
      <w:pPr>
        <w:pStyle w:val="ListBullet"/>
        <w:spacing w:after="40"/>
      </w:pPr>
      <w:r>
        <w:rPr>
          <w:rFonts w:ascii="Calibri" w:hAnsi="Calibri"/>
          <w:b w:val="0"/>
          <w:i w:val="0"/>
          <w:sz w:val="21"/>
        </w:rPr>
        <w:t>Implicit governance → Bedrock Guardrails, AWS PrivateLink, KMS, MFA, and 21 CFR Part 11-grade audit logging baked into every agent action.</w:t>
      </w:r>
    </w:p>
    <w:p>
      <w:pPr>
        <w:spacing w:before="200" w:after="80"/>
        <w:outlineLvl w:val="2"/>
      </w:pPr>
      <w:r>
        <w:rPr>
          <w:rFonts w:ascii="Calibri" w:hAnsi="Calibri"/>
          <w:b/>
          <w:i w:val="0"/>
          <w:color w:val="2E6DA4"/>
          <w:sz w:val="26"/>
        </w:rPr>
        <w:t>15.4  Specialist Agent Topology</w:t>
      </w:r>
    </w:p>
    <w:tbl>
      <w:tblPr>
        <w:tblStyle w:val="LightGrid-Accent1"/>
        <w:tblW w:type="auto" w:w="0"/>
        <w:jc w:val="center"/>
        <w:tblLook w:firstColumn="1" w:firstRow="1" w:lastColumn="0" w:lastRow="0" w:noHBand="0" w:noVBand="1" w:val="04A0"/>
      </w:tblPr>
      <w:tblGrid>
        <w:gridCol w:w="2493"/>
        <w:gridCol w:w="2493"/>
        <w:gridCol w:w="2493"/>
        <w:gridCol w:w="2493"/>
      </w:tblGrid>
      <w:tr>
        <w:tc>
          <w:tcPr>
            <w:tcW w:type="dxa" w:w="2493"/>
            <w:shd w:val="clear" w:color="auto" w:fill="1B3A6B"/>
            <w:vAlign w:val="top"/>
          </w:tcPr>
          <w:p>
            <w:r/>
            <w:r>
              <w:rPr>
                <w:rFonts w:ascii="Calibri" w:hAnsi="Calibri"/>
                <w:b/>
                <w:i w:val="0"/>
                <w:color w:val="FFFFFF"/>
                <w:sz w:val="18"/>
              </w:rPr>
              <w:t>Agent</w:t>
            </w:r>
          </w:p>
        </w:tc>
        <w:tc>
          <w:tcPr>
            <w:tcW w:type="dxa" w:w="2493"/>
            <w:shd w:val="clear" w:color="auto" w:fill="1B3A6B"/>
            <w:vAlign w:val="top"/>
          </w:tcPr>
          <w:p>
            <w:r/>
            <w:r>
              <w:rPr>
                <w:rFonts w:ascii="Calibri" w:hAnsi="Calibri"/>
                <w:b/>
                <w:i w:val="0"/>
                <w:color w:val="FFFFFF"/>
                <w:sz w:val="18"/>
              </w:rPr>
              <w:t>Responsibility</w:t>
            </w:r>
          </w:p>
        </w:tc>
        <w:tc>
          <w:tcPr>
            <w:tcW w:type="dxa" w:w="2493"/>
            <w:shd w:val="clear" w:color="auto" w:fill="1B3A6B"/>
            <w:vAlign w:val="top"/>
          </w:tcPr>
          <w:p>
            <w:r/>
            <w:r>
              <w:rPr>
                <w:rFonts w:ascii="Calibri" w:hAnsi="Calibri"/>
                <w:b/>
                <w:i w:val="0"/>
                <w:color w:val="FFFFFF"/>
                <w:sz w:val="18"/>
              </w:rPr>
              <w:t>Tools</w:t>
            </w:r>
          </w:p>
        </w:tc>
        <w:tc>
          <w:tcPr>
            <w:tcW w:type="dxa" w:w="2493"/>
            <w:shd w:val="clear" w:color="auto" w:fill="1B3A6B"/>
            <w:vAlign w:val="top"/>
          </w:tcPr>
          <w:p>
            <w:r/>
            <w:r>
              <w:rPr>
                <w:rFonts w:ascii="Calibri" w:hAnsi="Calibri"/>
                <w:b/>
                <w:i w:val="0"/>
                <w:color w:val="FFFFFF"/>
                <w:sz w:val="18"/>
              </w:rPr>
              <w:t>Model</w:t>
            </w:r>
          </w:p>
        </w:tc>
      </w:tr>
      <w:tr>
        <w:tc>
          <w:tcPr>
            <w:tcW w:type="dxa" w:w="2493"/>
            <w:vAlign w:val="top"/>
          </w:tcPr>
          <w:p>
            <w:r/>
            <w:r>
              <w:rPr>
                <w:rFonts w:ascii="Calibri" w:hAnsi="Calibri"/>
                <w:b w:val="0"/>
                <w:i w:val="0"/>
                <w:color w:val="000000"/>
                <w:sz w:val="18"/>
              </w:rPr>
              <w:t>Supervisor</w:t>
            </w:r>
          </w:p>
        </w:tc>
        <w:tc>
          <w:tcPr>
            <w:tcW w:type="dxa" w:w="2493"/>
            <w:vAlign w:val="top"/>
          </w:tcPr>
          <w:p>
            <w:r/>
            <w:r>
              <w:rPr>
                <w:rFonts w:ascii="Calibri" w:hAnsi="Calibri"/>
                <w:b w:val="0"/>
                <w:i w:val="0"/>
                <w:color w:val="000000"/>
                <w:sz w:val="18"/>
              </w:rPr>
              <w:t>Intent routing, response synthesis</w:t>
            </w:r>
          </w:p>
        </w:tc>
        <w:tc>
          <w:tcPr>
            <w:tcW w:type="dxa" w:w="2493"/>
            <w:vAlign w:val="top"/>
          </w:tcPr>
          <w:p>
            <w:r/>
            <w:r>
              <w:rPr>
                <w:rFonts w:ascii="Calibri" w:hAnsi="Calibri"/>
                <w:b w:val="0"/>
                <w:i w:val="0"/>
                <w:color w:val="000000"/>
                <w:sz w:val="18"/>
              </w:rPr>
              <w:t>classify_intent, route_to_agent</w:t>
            </w:r>
          </w:p>
        </w:tc>
        <w:tc>
          <w:tcPr>
            <w:tcW w:type="dxa" w:w="2493"/>
            <w:vAlign w:val="top"/>
          </w:tcPr>
          <w:p>
            <w:r/>
            <w:r>
              <w:rPr>
                <w:rFonts w:ascii="Calibri" w:hAnsi="Calibri"/>
                <w:b w:val="0"/>
                <w:i w:val="0"/>
                <w:color w:val="000000"/>
                <w:sz w:val="18"/>
              </w:rPr>
              <w:t>Claude Sonnet</w:t>
            </w:r>
          </w:p>
        </w:tc>
      </w:tr>
      <w:tr>
        <w:tc>
          <w:tcPr>
            <w:tcW w:type="dxa" w:w="2493"/>
            <w:vAlign w:val="top"/>
          </w:tcPr>
          <w:p>
            <w:r/>
            <w:r>
              <w:rPr>
                <w:rFonts w:ascii="Calibri" w:hAnsi="Calibri"/>
                <w:b w:val="0"/>
                <w:i w:val="0"/>
                <w:color w:val="000000"/>
                <w:sz w:val="18"/>
              </w:rPr>
              <w:t>Eugene Agent</w:t>
            </w:r>
          </w:p>
        </w:tc>
        <w:tc>
          <w:tcPr>
            <w:tcW w:type="dxa" w:w="2493"/>
            <w:vAlign w:val="top"/>
          </w:tcPr>
          <w:p>
            <w:r/>
            <w:r>
              <w:rPr>
                <w:rFonts w:ascii="Calibri" w:hAnsi="Calibri"/>
                <w:b w:val="0"/>
                <w:i w:val="0"/>
                <w:color w:val="000000"/>
                <w:sz w:val="18"/>
              </w:rPr>
              <w:t>KG queries, relationship traversal</w:t>
            </w:r>
          </w:p>
        </w:tc>
        <w:tc>
          <w:tcPr>
            <w:tcW w:type="dxa" w:w="2493"/>
            <w:vAlign w:val="top"/>
          </w:tcPr>
          <w:p>
            <w:r/>
            <w:r>
              <w:rPr>
                <w:rFonts w:ascii="Calibri" w:hAnsi="Calibri"/>
                <w:b w:val="0"/>
                <w:i w:val="0"/>
                <w:color w:val="000000"/>
                <w:sz w:val="18"/>
              </w:rPr>
              <w:t>12 Eugene MCP tools</w:t>
            </w:r>
          </w:p>
        </w:tc>
        <w:tc>
          <w:tcPr>
            <w:tcW w:type="dxa" w:w="2493"/>
            <w:vAlign w:val="top"/>
          </w:tcPr>
          <w:p>
            <w:r/>
            <w:r>
              <w:rPr>
                <w:rFonts w:ascii="Calibri" w:hAnsi="Calibri"/>
                <w:b w:val="0"/>
                <w:i w:val="0"/>
                <w:color w:val="000000"/>
                <w:sz w:val="18"/>
              </w:rPr>
              <w:t>Claude Sonnet</w:t>
            </w:r>
          </w:p>
        </w:tc>
      </w:tr>
      <w:tr>
        <w:tc>
          <w:tcPr>
            <w:tcW w:type="dxa" w:w="2493"/>
            <w:vAlign w:val="top"/>
          </w:tcPr>
          <w:p>
            <w:r/>
            <w:r>
              <w:rPr>
                <w:rFonts w:ascii="Calibri" w:hAnsi="Calibri"/>
                <w:b w:val="0"/>
                <w:i w:val="0"/>
                <w:color w:val="000000"/>
                <w:sz w:val="18"/>
              </w:rPr>
              <w:t>Research Agent</w:t>
            </w:r>
          </w:p>
        </w:tc>
        <w:tc>
          <w:tcPr>
            <w:tcW w:type="dxa" w:w="2493"/>
            <w:vAlign w:val="top"/>
          </w:tcPr>
          <w:p>
            <w:r/>
            <w:r>
              <w:rPr>
                <w:rFonts w:ascii="Calibri" w:hAnsi="Calibri"/>
                <w:b w:val="0"/>
                <w:i w:val="0"/>
                <w:color w:val="000000"/>
                <w:sz w:val="18"/>
              </w:rPr>
              <w:t>Free-text research synthesis</w:t>
            </w:r>
          </w:p>
        </w:tc>
        <w:tc>
          <w:tcPr>
            <w:tcW w:type="dxa" w:w="2493"/>
            <w:vAlign w:val="top"/>
          </w:tcPr>
          <w:p>
            <w:r/>
            <w:r>
              <w:rPr>
                <w:rFonts w:ascii="Calibri" w:hAnsi="Calibri"/>
                <w:b w:val="0"/>
                <w:i w:val="0"/>
                <w:color w:val="000000"/>
                <w:sz w:val="18"/>
              </w:rPr>
              <w:t>search_kb, summarise</w:t>
            </w:r>
          </w:p>
        </w:tc>
        <w:tc>
          <w:tcPr>
            <w:tcW w:type="dxa" w:w="2493"/>
            <w:vAlign w:val="top"/>
          </w:tcPr>
          <w:p>
            <w:r/>
            <w:r>
              <w:rPr>
                <w:rFonts w:ascii="Calibri" w:hAnsi="Calibri"/>
                <w:b w:val="0"/>
                <w:i w:val="0"/>
                <w:color w:val="000000"/>
                <w:sz w:val="18"/>
              </w:rPr>
              <w:t>Claude Sonnet</w:t>
            </w:r>
          </w:p>
        </w:tc>
      </w:tr>
      <w:tr>
        <w:tc>
          <w:tcPr>
            <w:tcW w:type="dxa" w:w="2493"/>
            <w:vAlign w:val="top"/>
          </w:tcPr>
          <w:p>
            <w:r/>
            <w:r>
              <w:rPr>
                <w:rFonts w:ascii="Calibri" w:hAnsi="Calibri"/>
                <w:b w:val="0"/>
                <w:i w:val="0"/>
                <w:color w:val="000000"/>
                <w:sz w:val="18"/>
              </w:rPr>
              <w:t>PubMed Agent</w:t>
            </w:r>
          </w:p>
        </w:tc>
        <w:tc>
          <w:tcPr>
            <w:tcW w:type="dxa" w:w="2493"/>
            <w:vAlign w:val="top"/>
          </w:tcPr>
          <w:p>
            <w:r/>
            <w:r>
              <w:rPr>
                <w:rFonts w:ascii="Calibri" w:hAnsi="Calibri"/>
                <w:b w:val="0"/>
                <w:i w:val="0"/>
                <w:color w:val="000000"/>
                <w:sz w:val="18"/>
              </w:rPr>
              <w:t>Literature, citations</w:t>
            </w:r>
          </w:p>
        </w:tc>
        <w:tc>
          <w:tcPr>
            <w:tcW w:type="dxa" w:w="2493"/>
            <w:vAlign w:val="top"/>
          </w:tcPr>
          <w:p>
            <w:r/>
            <w:r>
              <w:rPr>
                <w:rFonts w:ascii="Calibri" w:hAnsi="Calibri"/>
                <w:b w:val="0"/>
                <w:i w:val="0"/>
                <w:color w:val="000000"/>
                <w:sz w:val="18"/>
              </w:rPr>
              <w:t>search_pubmed, get_article</w:t>
            </w:r>
          </w:p>
        </w:tc>
        <w:tc>
          <w:tcPr>
            <w:tcW w:type="dxa" w:w="2493"/>
            <w:vAlign w:val="top"/>
          </w:tcPr>
          <w:p>
            <w:r/>
            <w:r>
              <w:rPr>
                <w:rFonts w:ascii="Calibri" w:hAnsi="Calibri"/>
                <w:b w:val="0"/>
                <w:i w:val="0"/>
                <w:color w:val="000000"/>
                <w:sz w:val="18"/>
              </w:rPr>
              <w:t>GPT-4.1-mini</w:t>
            </w:r>
          </w:p>
        </w:tc>
      </w:tr>
      <w:tr>
        <w:tc>
          <w:tcPr>
            <w:tcW w:type="dxa" w:w="2493"/>
            <w:vAlign w:val="top"/>
          </w:tcPr>
          <w:p>
            <w:r/>
            <w:r>
              <w:rPr>
                <w:rFonts w:ascii="Calibri" w:hAnsi="Calibri"/>
                <w:b w:val="0"/>
                <w:i w:val="0"/>
                <w:color w:val="000000"/>
                <w:sz w:val="18"/>
              </w:rPr>
              <w:t>SEC Agent</w:t>
            </w:r>
          </w:p>
        </w:tc>
        <w:tc>
          <w:tcPr>
            <w:tcW w:type="dxa" w:w="2493"/>
            <w:vAlign w:val="top"/>
          </w:tcPr>
          <w:p>
            <w:r/>
            <w:r>
              <w:rPr>
                <w:rFonts w:ascii="Calibri" w:hAnsi="Calibri"/>
                <w:b w:val="0"/>
                <w:i w:val="0"/>
                <w:color w:val="000000"/>
                <w:sz w:val="18"/>
              </w:rPr>
              <w:t>Filings, M&amp;A, financials</w:t>
            </w:r>
          </w:p>
        </w:tc>
        <w:tc>
          <w:tcPr>
            <w:tcW w:type="dxa" w:w="2493"/>
            <w:vAlign w:val="top"/>
          </w:tcPr>
          <w:p>
            <w:r/>
            <w:r>
              <w:rPr>
                <w:rFonts w:ascii="Calibri" w:hAnsi="Calibri"/>
                <w:b w:val="0"/>
                <w:i w:val="0"/>
                <w:color w:val="000000"/>
                <w:sz w:val="18"/>
              </w:rPr>
              <w:t>search_sec, get_filing</w:t>
            </w:r>
          </w:p>
        </w:tc>
        <w:tc>
          <w:tcPr>
            <w:tcW w:type="dxa" w:w="2493"/>
            <w:vAlign w:val="top"/>
          </w:tcPr>
          <w:p>
            <w:r/>
            <w:r>
              <w:rPr>
                <w:rFonts w:ascii="Calibri" w:hAnsi="Calibri"/>
                <w:b w:val="0"/>
                <w:i w:val="0"/>
                <w:color w:val="000000"/>
                <w:sz w:val="18"/>
              </w:rPr>
              <w:t>GPT-4.1-mini</w:t>
            </w:r>
          </w:p>
        </w:tc>
      </w:tr>
      <w:tr>
        <w:tc>
          <w:tcPr>
            <w:tcW w:type="dxa" w:w="2493"/>
            <w:vAlign w:val="top"/>
          </w:tcPr>
          <w:p>
            <w:r/>
            <w:r>
              <w:rPr>
                <w:rFonts w:ascii="Calibri" w:hAnsi="Calibri"/>
                <w:b w:val="0"/>
                <w:i w:val="0"/>
                <w:color w:val="000000"/>
                <w:sz w:val="18"/>
              </w:rPr>
              <w:t>Trials Agent</w:t>
            </w:r>
          </w:p>
        </w:tc>
        <w:tc>
          <w:tcPr>
            <w:tcW w:type="dxa" w:w="2493"/>
            <w:vAlign w:val="top"/>
          </w:tcPr>
          <w:p>
            <w:r/>
            <w:r>
              <w:rPr>
                <w:rFonts w:ascii="Calibri" w:hAnsi="Calibri"/>
                <w:b w:val="0"/>
                <w:i w:val="0"/>
                <w:color w:val="000000"/>
                <w:sz w:val="18"/>
              </w:rPr>
              <w:t>Trial discovery, protocol</w:t>
            </w:r>
          </w:p>
        </w:tc>
        <w:tc>
          <w:tcPr>
            <w:tcW w:type="dxa" w:w="2493"/>
            <w:vAlign w:val="top"/>
          </w:tcPr>
          <w:p>
            <w:r/>
            <w:r>
              <w:rPr>
                <w:rFonts w:ascii="Calibri" w:hAnsi="Calibri"/>
                <w:b w:val="0"/>
                <w:i w:val="0"/>
                <w:color w:val="000000"/>
                <w:sz w:val="18"/>
              </w:rPr>
              <w:t>search_trials, get_protocol</w:t>
            </w:r>
          </w:p>
        </w:tc>
        <w:tc>
          <w:tcPr>
            <w:tcW w:type="dxa" w:w="2493"/>
            <w:vAlign w:val="top"/>
          </w:tcPr>
          <w:p>
            <w:r/>
            <w:r>
              <w:rPr>
                <w:rFonts w:ascii="Calibri" w:hAnsi="Calibri"/>
                <w:b w:val="0"/>
                <w:i w:val="0"/>
                <w:color w:val="000000"/>
                <w:sz w:val="18"/>
              </w:rPr>
              <w:t>GPT-4.1-mini</w:t>
            </w:r>
          </w:p>
        </w:tc>
      </w:tr>
      <w:tr>
        <w:tc>
          <w:tcPr>
            <w:tcW w:type="dxa" w:w="2493"/>
            <w:vAlign w:val="top"/>
          </w:tcPr>
          <w:p>
            <w:r/>
            <w:r>
              <w:rPr>
                <w:rFonts w:ascii="Calibri" w:hAnsi="Calibri"/>
                <w:b w:val="0"/>
                <w:i w:val="0"/>
                <w:color w:val="000000"/>
                <w:sz w:val="18"/>
              </w:rPr>
              <w:t>Synthesis Agent</w:t>
            </w:r>
          </w:p>
        </w:tc>
        <w:tc>
          <w:tcPr>
            <w:tcW w:type="dxa" w:w="2493"/>
            <w:vAlign w:val="top"/>
          </w:tcPr>
          <w:p>
            <w:r/>
            <w:r>
              <w:rPr>
                <w:rFonts w:ascii="Calibri" w:hAnsi="Calibri"/>
                <w:b w:val="0"/>
                <w:i w:val="0"/>
                <w:color w:val="000000"/>
                <w:sz w:val="18"/>
              </w:rPr>
              <w:t>Cross-source aggregation</w:t>
            </w:r>
          </w:p>
        </w:tc>
        <w:tc>
          <w:tcPr>
            <w:tcW w:type="dxa" w:w="2493"/>
            <w:vAlign w:val="top"/>
          </w:tcPr>
          <w:p>
            <w:r/>
            <w:r>
              <w:rPr>
                <w:rFonts w:ascii="Calibri" w:hAnsi="Calibri"/>
                <w:b w:val="0"/>
                <w:i w:val="0"/>
                <w:color w:val="000000"/>
                <w:sz w:val="18"/>
              </w:rPr>
              <w:t>All read tools</w:t>
            </w:r>
          </w:p>
        </w:tc>
        <w:tc>
          <w:tcPr>
            <w:tcW w:type="dxa" w:w="2493"/>
            <w:vAlign w:val="top"/>
          </w:tcPr>
          <w:p>
            <w:r/>
            <w:r>
              <w:rPr>
                <w:rFonts w:ascii="Calibri" w:hAnsi="Calibri"/>
                <w:b w:val="0"/>
                <w:i w:val="0"/>
                <w:color w:val="000000"/>
                <w:sz w:val="18"/>
              </w:rPr>
              <w:t>Claude Sonnet</w:t>
            </w:r>
          </w:p>
        </w:tc>
      </w:tr>
    </w:tbl>
    <w:p/>
    <w:p>
      <w:pPr>
        <w:spacing w:before="280" w:after="160"/>
        <w:outlineLvl w:val="1"/>
      </w:pPr>
      <w:r>
        <w:rPr>
          <w:rFonts w:ascii="Calibri" w:hAnsi="Calibri"/>
          <w:b/>
          <w:i w:val="0"/>
          <w:color w:val="1B3A6B"/>
          <w:sz w:val="34"/>
        </w:rPr>
        <w:t>16.  Four-Phase Roadmap</w:t>
      </w:r>
    </w:p>
    <w:p>
      <w:pPr>
        <w:spacing w:before="200" w:after="80"/>
        <w:outlineLvl w:val="2"/>
      </w:pPr>
      <w:r>
        <w:rPr>
          <w:rFonts w:ascii="Calibri" w:hAnsi="Calibri"/>
          <w:b/>
          <w:i w:val="0"/>
          <w:color w:val="2E6DA4"/>
          <w:sz w:val="26"/>
        </w:rPr>
        <w:t>16.1  Phasing</w:t>
      </w:r>
    </w:p>
    <w:tbl>
      <w:tblPr>
        <w:tblStyle w:val="LightGrid-Accent1"/>
        <w:tblW w:type="auto" w:w="0"/>
        <w:jc w:val="center"/>
        <w:tblLook w:firstColumn="1" w:firstRow="1" w:lastColumn="0" w:lastRow="0" w:noHBand="0" w:noVBand="1" w:val="04A0"/>
      </w:tblPr>
      <w:tblGrid>
        <w:gridCol w:w="3324"/>
        <w:gridCol w:w="3324"/>
        <w:gridCol w:w="3324"/>
      </w:tblGrid>
      <w:tr>
        <w:tc>
          <w:tcPr>
            <w:tcW w:type="dxa" w:w="3324"/>
            <w:shd w:val="clear" w:color="auto" w:fill="1B3A6B"/>
            <w:vAlign w:val="top"/>
          </w:tcPr>
          <w:p>
            <w:r/>
            <w:r>
              <w:rPr>
                <w:rFonts w:ascii="Calibri" w:hAnsi="Calibri"/>
                <w:b/>
                <w:i w:val="0"/>
                <w:color w:val="FFFFFF"/>
                <w:sz w:val="18"/>
              </w:rPr>
              <w:t>Phase</w:t>
            </w:r>
          </w:p>
        </w:tc>
        <w:tc>
          <w:tcPr>
            <w:tcW w:type="dxa" w:w="3324"/>
            <w:shd w:val="clear" w:color="auto" w:fill="1B3A6B"/>
            <w:vAlign w:val="top"/>
          </w:tcPr>
          <w:p>
            <w:r/>
            <w:r>
              <w:rPr>
                <w:rFonts w:ascii="Calibri" w:hAnsi="Calibri"/>
                <w:b/>
                <w:i w:val="0"/>
                <w:color w:val="FFFFFF"/>
                <w:sz w:val="18"/>
              </w:rPr>
              <w:t>Weeks</w:t>
            </w:r>
          </w:p>
        </w:tc>
        <w:tc>
          <w:tcPr>
            <w:tcW w:type="dxa" w:w="3324"/>
            <w:shd w:val="clear" w:color="auto" w:fill="1B3A6B"/>
            <w:vAlign w:val="top"/>
          </w:tcPr>
          <w:p>
            <w:r/>
            <w:r>
              <w:rPr>
                <w:rFonts w:ascii="Calibri" w:hAnsi="Calibri"/>
                <w:b/>
                <w:i w:val="0"/>
                <w:color w:val="FFFFFF"/>
                <w:sz w:val="18"/>
              </w:rPr>
              <w:t>Outcomes</w:t>
            </w:r>
          </w:p>
        </w:tc>
      </w:tr>
      <w:tr>
        <w:tc>
          <w:tcPr>
            <w:tcW w:type="dxa" w:w="3324"/>
            <w:vAlign w:val="top"/>
          </w:tcPr>
          <w:p>
            <w:r/>
            <w:r>
              <w:rPr>
                <w:rFonts w:ascii="Calibri" w:hAnsi="Calibri"/>
                <w:b w:val="0"/>
                <w:i w:val="0"/>
                <w:color w:val="000000"/>
                <w:sz w:val="18"/>
              </w:rPr>
              <w:t>1. Foundation Fixes</w:t>
            </w:r>
          </w:p>
        </w:tc>
        <w:tc>
          <w:tcPr>
            <w:tcW w:type="dxa" w:w="3324"/>
            <w:vAlign w:val="top"/>
          </w:tcPr>
          <w:p>
            <w:r/>
            <w:r>
              <w:rPr>
                <w:rFonts w:ascii="Calibri" w:hAnsi="Calibri"/>
                <w:b w:val="0"/>
                <w:i w:val="0"/>
                <w:color w:val="000000"/>
                <w:sz w:val="18"/>
              </w:rPr>
              <w:t>1 – 4</w:t>
            </w:r>
          </w:p>
        </w:tc>
        <w:tc>
          <w:tcPr>
            <w:tcW w:type="dxa" w:w="3324"/>
            <w:vAlign w:val="top"/>
          </w:tcPr>
          <w:p>
            <w:r/>
            <w:r>
              <w:rPr>
                <w:rFonts w:ascii="Calibri" w:hAnsi="Calibri"/>
                <w:b w:val="0"/>
                <w:i w:val="0"/>
                <w:color w:val="000000"/>
                <w:sz w:val="18"/>
              </w:rPr>
              <w:t>All CRITICAL + HIGH findings resolved; structured logging; deep /health; rate limiting live.</w:t>
            </w:r>
          </w:p>
        </w:tc>
      </w:tr>
      <w:tr>
        <w:tc>
          <w:tcPr>
            <w:tcW w:type="dxa" w:w="3324"/>
            <w:vAlign w:val="top"/>
          </w:tcPr>
          <w:p>
            <w:r/>
            <w:r>
              <w:rPr>
                <w:rFonts w:ascii="Calibri" w:hAnsi="Calibri"/>
                <w:b w:val="0"/>
                <w:i w:val="0"/>
                <w:color w:val="000000"/>
                <w:sz w:val="18"/>
              </w:rPr>
              <w:t>2. Session &amp; Observability</w:t>
            </w:r>
          </w:p>
        </w:tc>
        <w:tc>
          <w:tcPr>
            <w:tcW w:type="dxa" w:w="3324"/>
            <w:vAlign w:val="top"/>
          </w:tcPr>
          <w:p>
            <w:r/>
            <w:r>
              <w:rPr>
                <w:rFonts w:ascii="Calibri" w:hAnsi="Calibri"/>
                <w:b w:val="0"/>
                <w:i w:val="0"/>
                <w:color w:val="000000"/>
                <w:sz w:val="18"/>
              </w:rPr>
              <w:t>5 – 8</w:t>
            </w:r>
          </w:p>
        </w:tc>
        <w:tc>
          <w:tcPr>
            <w:tcW w:type="dxa" w:w="3324"/>
            <w:vAlign w:val="top"/>
          </w:tcPr>
          <w:p>
            <w:r/>
            <w:r>
              <w:rPr>
                <w:rFonts w:ascii="Calibri" w:hAnsi="Calibri"/>
                <w:b w:val="0"/>
                <w:i w:val="0"/>
                <w:color w:val="000000"/>
                <w:sz w:val="18"/>
              </w:rPr>
              <w:t>FileSessionManager replaced; OpenTelemetry + X-Ray; PII / PHI middleware; Neo4j S3 backups; first UI cohort delivered.</w:t>
            </w:r>
          </w:p>
        </w:tc>
      </w:tr>
      <w:tr>
        <w:tc>
          <w:tcPr>
            <w:tcW w:type="dxa" w:w="3324"/>
            <w:vAlign w:val="top"/>
          </w:tcPr>
          <w:p>
            <w:r/>
            <w:r>
              <w:rPr>
                <w:rFonts w:ascii="Calibri" w:hAnsi="Calibri"/>
                <w:b w:val="0"/>
                <w:i w:val="0"/>
                <w:color w:val="000000"/>
                <w:sz w:val="18"/>
              </w:rPr>
              <w:t>3. Multi-Agent &amp; New Tools</w:t>
            </w:r>
          </w:p>
        </w:tc>
        <w:tc>
          <w:tcPr>
            <w:tcW w:type="dxa" w:w="3324"/>
            <w:vAlign w:val="top"/>
          </w:tcPr>
          <w:p>
            <w:r/>
            <w:r>
              <w:rPr>
                <w:rFonts w:ascii="Calibri" w:hAnsi="Calibri"/>
                <w:b w:val="0"/>
                <w:i w:val="0"/>
                <w:color w:val="000000"/>
                <w:sz w:val="18"/>
              </w:rPr>
              <w:t>9 – 12</w:t>
            </w:r>
          </w:p>
        </w:tc>
        <w:tc>
          <w:tcPr>
            <w:tcW w:type="dxa" w:w="3324"/>
            <w:vAlign w:val="top"/>
          </w:tcPr>
          <w:p>
            <w:r/>
            <w:r>
              <w:rPr>
                <w:rFonts w:ascii="Calibri" w:hAnsi="Calibri"/>
                <w:b w:val="0"/>
                <w:i w:val="0"/>
                <w:color w:val="000000"/>
                <w:sz w:val="18"/>
              </w:rPr>
              <w:t>Supervisor + specialist topology; PubMed / SEC / Trials agents; Bedrock as primary LLM; UI cohort 2 delivered.</w:t>
            </w:r>
          </w:p>
        </w:tc>
      </w:tr>
      <w:tr>
        <w:tc>
          <w:tcPr>
            <w:tcW w:type="dxa" w:w="3324"/>
            <w:vAlign w:val="top"/>
          </w:tcPr>
          <w:p>
            <w:r/>
            <w:r>
              <w:rPr>
                <w:rFonts w:ascii="Calibri" w:hAnsi="Calibri"/>
                <w:b w:val="0"/>
                <w:i w:val="0"/>
                <w:color w:val="000000"/>
                <w:sz w:val="18"/>
              </w:rPr>
              <w:t>4. Vector Search &amp; Audit</w:t>
            </w:r>
          </w:p>
        </w:tc>
        <w:tc>
          <w:tcPr>
            <w:tcW w:type="dxa" w:w="3324"/>
            <w:vAlign w:val="top"/>
          </w:tcPr>
          <w:p>
            <w:r/>
            <w:r>
              <w:rPr>
                <w:rFonts w:ascii="Calibri" w:hAnsi="Calibri"/>
                <w:b w:val="0"/>
                <w:i w:val="0"/>
                <w:color w:val="000000"/>
                <w:sz w:val="18"/>
              </w:rPr>
              <w:t>13 +</w:t>
            </w:r>
          </w:p>
        </w:tc>
        <w:tc>
          <w:tcPr>
            <w:tcW w:type="dxa" w:w="3324"/>
            <w:vAlign w:val="top"/>
          </w:tcPr>
          <w:p>
            <w:r/>
            <w:r>
              <w:rPr>
                <w:rFonts w:ascii="Calibri" w:hAnsi="Calibri"/>
                <w:b w:val="0"/>
                <w:i w:val="0"/>
                <w:color w:val="000000"/>
                <w:sz w:val="18"/>
              </w:rPr>
              <w:t>Bedrock Knowledge Base for unstructured KB; freshness tracking; explainability lineage API; UI cohort 3 + accessibility audit.</w:t>
            </w:r>
          </w:p>
        </w:tc>
      </w:tr>
    </w:tbl>
    <w:p/>
    <w:p>
      <w:pPr>
        <w:spacing w:before="200" w:after="80"/>
        <w:outlineLvl w:val="2"/>
      </w:pPr>
      <w:r>
        <w:rPr>
          <w:rFonts w:ascii="Calibri" w:hAnsi="Calibri"/>
          <w:b/>
          <w:i w:val="0"/>
          <w:color w:val="2E6DA4"/>
          <w:sz w:val="26"/>
        </w:rPr>
        <w:t>16.2  Quick Wins versus Strategic Items</w:t>
      </w:r>
    </w:p>
    <w:tbl>
      <w:tblPr>
        <w:tblStyle w:val="LightGrid-Accent1"/>
        <w:tblW w:type="auto" w:w="0"/>
        <w:jc w:val="center"/>
        <w:tblLook w:firstColumn="1" w:firstRow="1" w:lastColumn="0" w:lastRow="0" w:noHBand="0" w:noVBand="1" w:val="04A0"/>
      </w:tblPr>
      <w:tblGrid>
        <w:gridCol w:w="3324"/>
        <w:gridCol w:w="3324"/>
        <w:gridCol w:w="3324"/>
      </w:tblGrid>
      <w:tr>
        <w:tc>
          <w:tcPr>
            <w:tcW w:type="dxa" w:w="3324"/>
            <w:shd w:val="clear" w:color="auto" w:fill="1B3A6B"/>
            <w:vAlign w:val="top"/>
          </w:tcPr>
          <w:p>
            <w:r/>
            <w:r>
              <w:rPr>
                <w:rFonts w:ascii="Calibri" w:hAnsi="Calibri"/>
                <w:b/>
                <w:i w:val="0"/>
                <w:color w:val="FFFFFF"/>
                <w:sz w:val="18"/>
              </w:rPr>
              <w:t>Category</w:t>
            </w:r>
          </w:p>
        </w:tc>
        <w:tc>
          <w:tcPr>
            <w:tcW w:type="dxa" w:w="3324"/>
            <w:shd w:val="clear" w:color="auto" w:fill="1B3A6B"/>
            <w:vAlign w:val="top"/>
          </w:tcPr>
          <w:p>
            <w:r/>
            <w:r>
              <w:rPr>
                <w:rFonts w:ascii="Calibri" w:hAnsi="Calibri"/>
                <w:b/>
                <w:i w:val="0"/>
                <w:color w:val="FFFFFF"/>
                <w:sz w:val="18"/>
              </w:rPr>
              <w:t>Findings</w:t>
            </w:r>
          </w:p>
        </w:tc>
        <w:tc>
          <w:tcPr>
            <w:tcW w:type="dxa" w:w="3324"/>
            <w:shd w:val="clear" w:color="auto" w:fill="1B3A6B"/>
            <w:vAlign w:val="top"/>
          </w:tcPr>
          <w:p>
            <w:r/>
            <w:r>
              <w:rPr>
                <w:rFonts w:ascii="Calibri" w:hAnsi="Calibri"/>
                <w:b/>
                <w:i w:val="0"/>
                <w:color w:val="FFFFFF"/>
                <w:sz w:val="18"/>
              </w:rPr>
              <w:t>Effort</w:t>
            </w:r>
          </w:p>
        </w:tc>
      </w:tr>
      <w:tr>
        <w:tc>
          <w:tcPr>
            <w:tcW w:type="dxa" w:w="3324"/>
            <w:vAlign w:val="top"/>
          </w:tcPr>
          <w:p>
            <w:r/>
            <w:r>
              <w:rPr>
                <w:rFonts w:ascii="Calibri" w:hAnsi="Calibri"/>
                <w:b w:val="0"/>
                <w:i w:val="0"/>
                <w:color w:val="000000"/>
                <w:sz w:val="18"/>
              </w:rPr>
              <w:t>Quick Wins (0.5 – 1 day)</w:t>
            </w:r>
          </w:p>
        </w:tc>
        <w:tc>
          <w:tcPr>
            <w:tcW w:type="dxa" w:w="3324"/>
            <w:vAlign w:val="top"/>
          </w:tcPr>
          <w:p>
            <w:r/>
            <w:r>
              <w:rPr>
                <w:rFonts w:ascii="Calibri" w:hAnsi="Calibri"/>
                <w:b w:val="0"/>
                <w:i w:val="0"/>
                <w:color w:val="000000"/>
                <w:sz w:val="18"/>
              </w:rPr>
              <w:t>SEC-01, AGT-01, AGT-02, AGT-03, AGT-04, AGT-05, SEC-02, DB-01, DB-02, DB-03, OBS-04, GRAPH-01</w:t>
            </w:r>
          </w:p>
        </w:tc>
        <w:tc>
          <w:tcPr>
            <w:tcW w:type="dxa" w:w="3324"/>
            <w:vAlign w:val="top"/>
          </w:tcPr>
          <w:p>
            <w:r/>
            <w:r>
              <w:rPr>
                <w:rFonts w:ascii="Calibri" w:hAnsi="Calibri"/>
                <w:b w:val="0"/>
                <w:i w:val="0"/>
                <w:color w:val="000000"/>
                <w:sz w:val="18"/>
              </w:rPr>
              <w:t>≈ 8 days</w:t>
            </w:r>
          </w:p>
        </w:tc>
      </w:tr>
      <w:tr>
        <w:tc>
          <w:tcPr>
            <w:tcW w:type="dxa" w:w="3324"/>
            <w:vAlign w:val="top"/>
          </w:tcPr>
          <w:p>
            <w:r/>
            <w:r>
              <w:rPr>
                <w:rFonts w:ascii="Calibri" w:hAnsi="Calibri"/>
                <w:b w:val="0"/>
                <w:i w:val="0"/>
                <w:color w:val="000000"/>
                <w:sz w:val="18"/>
              </w:rPr>
              <w:t>Strategic (2 – 5 days)</w:t>
            </w:r>
          </w:p>
        </w:tc>
        <w:tc>
          <w:tcPr>
            <w:tcW w:type="dxa" w:w="3324"/>
            <w:vAlign w:val="top"/>
          </w:tcPr>
          <w:p>
            <w:r/>
            <w:r>
              <w:rPr>
                <w:rFonts w:ascii="Calibri" w:hAnsi="Calibri"/>
                <w:b w:val="0"/>
                <w:i w:val="0"/>
                <w:color w:val="000000"/>
                <w:sz w:val="18"/>
              </w:rPr>
              <w:t>SEC-03, SEC-04, SEC-05, OBS-01, OBS-02, OBS-03, AGT-06, GRAPH-02</w:t>
            </w:r>
          </w:p>
        </w:tc>
        <w:tc>
          <w:tcPr>
            <w:tcW w:type="dxa" w:w="3324"/>
            <w:vAlign w:val="top"/>
          </w:tcPr>
          <w:p>
            <w:r/>
            <w:r>
              <w:rPr>
                <w:rFonts w:ascii="Calibri" w:hAnsi="Calibri"/>
                <w:b w:val="0"/>
                <w:i w:val="0"/>
                <w:color w:val="000000"/>
                <w:sz w:val="18"/>
              </w:rPr>
              <w:t>≈ 23 days</w:t>
            </w:r>
          </w:p>
        </w:tc>
      </w:tr>
    </w:tbl>
    <w:p/>
    <w:p>
      <w:pPr>
        <w:spacing w:before="280" w:after="160"/>
        <w:outlineLvl w:val="1"/>
      </w:pPr>
      <w:r>
        <w:rPr>
          <w:rFonts w:ascii="Calibri" w:hAnsi="Calibri"/>
          <w:b/>
          <w:i w:val="0"/>
          <w:color w:val="1B3A6B"/>
          <w:sz w:val="34"/>
        </w:rPr>
        <w:t>17.  User-Experience Enhancement Programme</w:t>
      </w:r>
    </w:p>
    <w:p>
      <w:pPr>
        <w:spacing w:after="120"/>
        <w:jc w:val="both"/>
      </w:pPr>
      <w:r>
        <w:rPr>
          <w:rFonts w:ascii="Calibri" w:hAnsi="Calibri"/>
          <w:b w:val="0"/>
          <w:i w:val="0"/>
          <w:color w:val="000000"/>
          <w:sz w:val="21"/>
        </w:rPr>
        <w:t>Fifteen concrete enhancements are sized for delivery inside Phases 2 and 3. They retain the strengths of the current Streamlit chat surface and complete the Next.js v2 implementation that is already underway.</w:t>
      </w:r>
    </w:p>
    <w:p>
      <w:pPr>
        <w:pStyle w:val="ListBullet"/>
        <w:spacing w:after="40"/>
      </w:pPr>
      <w:r>
        <w:rPr>
          <w:rFonts w:ascii="Calibri" w:hAnsi="Calibri"/>
          <w:b w:val="0"/>
          <w:i w:val="0"/>
          <w:sz w:val="21"/>
        </w:rPr>
        <w:t>Conversation snapshot export (JSON / Markdown / PDF).</w:t>
      </w:r>
    </w:p>
    <w:p>
      <w:pPr>
        <w:pStyle w:val="ListBullet"/>
        <w:spacing w:after="40"/>
      </w:pPr>
      <w:r>
        <w:rPr>
          <w:rFonts w:ascii="Calibri" w:hAnsi="Calibri"/>
          <w:b w:val="0"/>
          <w:i w:val="0"/>
          <w:sz w:val="21"/>
        </w:rPr>
        <w:t>Citation and evidence drilldown panel with lineage API.</w:t>
      </w:r>
    </w:p>
    <w:p>
      <w:pPr>
        <w:pStyle w:val="ListBullet"/>
        <w:spacing w:after="40"/>
      </w:pPr>
      <w:r>
        <w:rPr>
          <w:rFonts w:ascii="Calibri" w:hAnsi="Calibri"/>
          <w:b w:val="0"/>
          <w:i w:val="0"/>
          <w:sz w:val="21"/>
        </w:rPr>
        <w:t>Graph mini-map and zoom controls on the canvas.</w:t>
      </w:r>
    </w:p>
    <w:p>
      <w:pPr>
        <w:pStyle w:val="ListBullet"/>
        <w:spacing w:after="40"/>
      </w:pPr>
      <w:r>
        <w:rPr>
          <w:rFonts w:ascii="Calibri" w:hAnsi="Calibri"/>
          <w:b w:val="0"/>
          <w:i w:val="0"/>
          <w:sz w:val="21"/>
        </w:rPr>
        <w:t>Tool-call timeline rendered as a per-turn Gantt.</w:t>
      </w:r>
    </w:p>
    <w:p>
      <w:pPr>
        <w:pStyle w:val="ListBullet"/>
        <w:spacing w:after="40"/>
      </w:pPr>
      <w:r>
        <w:rPr>
          <w:rFonts w:ascii="Calibri" w:hAnsi="Calibri"/>
          <w:b w:val="0"/>
          <w:i w:val="0"/>
          <w:sz w:val="21"/>
        </w:rPr>
        <w:t>Role-based tool hints (read-only / admin-only / PII-risky).</w:t>
      </w:r>
    </w:p>
    <w:p>
      <w:pPr>
        <w:pStyle w:val="ListBullet"/>
        <w:spacing w:after="40"/>
      </w:pPr>
      <w:r>
        <w:rPr>
          <w:rFonts w:ascii="Calibri" w:hAnsi="Calibri"/>
          <w:b w:val="0"/>
          <w:i w:val="0"/>
          <w:sz w:val="21"/>
        </w:rPr>
        <w:t>System-prompt templates: Default Biomedical, Patent Analyst, Clinical Trialist, Competitive Intelligence.</w:t>
      </w:r>
    </w:p>
    <w:p>
      <w:pPr>
        <w:pStyle w:val="ListBullet"/>
        <w:spacing w:after="40"/>
      </w:pPr>
      <w:r>
        <w:rPr>
          <w:rFonts w:ascii="Calibri" w:hAnsi="Calibri"/>
          <w:b w:val="0"/>
          <w:i w:val="0"/>
          <w:sz w:val="21"/>
        </w:rPr>
        <w:t>Evidence drilldown with graph expansion to show cited paths.</w:t>
      </w:r>
    </w:p>
    <w:p>
      <w:pPr>
        <w:pStyle w:val="ListBullet"/>
        <w:spacing w:after="40"/>
      </w:pPr>
      <w:r>
        <w:rPr>
          <w:rFonts w:ascii="Calibri" w:hAnsi="Calibri"/>
          <w:b w:val="0"/>
          <w:i w:val="0"/>
          <w:sz w:val="21"/>
        </w:rPr>
        <w:t>Share and collaborative export with read-only short links.</w:t>
      </w:r>
    </w:p>
    <w:p>
      <w:pPr>
        <w:pStyle w:val="ListBullet"/>
        <w:spacing w:after="40"/>
      </w:pPr>
      <w:r>
        <w:rPr>
          <w:rFonts w:ascii="Calibri" w:hAnsi="Calibri"/>
          <w:b w:val="0"/>
          <w:i w:val="0"/>
          <w:sz w:val="21"/>
        </w:rPr>
        <w:t>Accessibility overhaul (WCAG 2.2 AA).</w:t>
      </w:r>
    </w:p>
    <w:p>
      <w:pPr>
        <w:pStyle w:val="ListBullet"/>
        <w:spacing w:after="40"/>
      </w:pPr>
      <w:r>
        <w:rPr>
          <w:rFonts w:ascii="Calibri" w:hAnsi="Calibri"/>
          <w:b w:val="0"/>
          <w:i w:val="0"/>
          <w:sz w:val="21"/>
        </w:rPr>
        <w:t>Keyboard shortcuts (Cmd+K, Cmd+N, Cmd+E, Cmd+?).</w:t>
      </w:r>
    </w:p>
    <w:p>
      <w:pPr>
        <w:pStyle w:val="ListBullet"/>
        <w:spacing w:after="40"/>
      </w:pPr>
      <w:r>
        <w:rPr>
          <w:rFonts w:ascii="Calibri" w:hAnsi="Calibri"/>
          <w:b w:val="0"/>
          <w:i w:val="0"/>
          <w:sz w:val="21"/>
        </w:rPr>
        <w:t>Light / dark theme toggle synchronised across canvas.</w:t>
      </w:r>
    </w:p>
    <w:p>
      <w:pPr>
        <w:pStyle w:val="ListBullet"/>
        <w:spacing w:after="40"/>
      </w:pPr>
      <w:r>
        <w:rPr>
          <w:rFonts w:ascii="Calibri" w:hAnsi="Calibri"/>
          <w:b w:val="0"/>
          <w:i w:val="0"/>
          <w:sz w:val="21"/>
        </w:rPr>
        <w:t>Mobile-responsive layout (tablet and phone).</w:t>
      </w:r>
    </w:p>
    <w:p>
      <w:pPr>
        <w:pStyle w:val="ListBullet"/>
        <w:spacing w:after="40"/>
      </w:pPr>
      <w:r>
        <w:rPr>
          <w:rFonts w:ascii="Calibri" w:hAnsi="Calibri"/>
          <w:b w:val="0"/>
          <w:i w:val="0"/>
          <w:sz w:val="21"/>
        </w:rPr>
        <w:t>Search history with autocomplete.</w:t>
      </w:r>
    </w:p>
    <w:p>
      <w:pPr>
        <w:pStyle w:val="ListBullet"/>
        <w:spacing w:after="40"/>
      </w:pPr>
      <w:r>
        <w:rPr>
          <w:rFonts w:ascii="Calibri" w:hAnsi="Calibri"/>
          <w:b w:val="0"/>
          <w:i w:val="0"/>
          <w:sz w:val="21"/>
        </w:rPr>
        <w:t>Agent-decision lineage UI ("Why?" button per turn).</w:t>
      </w:r>
    </w:p>
    <w:p>
      <w:pPr>
        <w:pStyle w:val="ListBullet"/>
        <w:spacing w:after="40"/>
      </w:pPr>
      <w:r>
        <w:rPr>
          <w:rFonts w:ascii="Calibri" w:hAnsi="Calibri"/>
          <w:b w:val="0"/>
          <w:i w:val="0"/>
          <w:sz w:val="21"/>
        </w:rPr>
        <w:t>Node-property hover tooltips on the graph canvas.</w:t>
      </w:r>
    </w:p>
    <w:p>
      <w:pPr>
        <w:spacing w:before="280" w:after="160"/>
        <w:outlineLvl w:val="1"/>
      </w:pPr>
      <w:r>
        <w:rPr>
          <w:rFonts w:ascii="Calibri" w:hAnsi="Calibri"/>
          <w:b/>
          <w:i w:val="0"/>
          <w:color w:val="1B3A6B"/>
          <w:sz w:val="34"/>
        </w:rPr>
        <w:t>18.  Non-Functional Targets</w:t>
      </w:r>
    </w:p>
    <w:tbl>
      <w:tblPr>
        <w:tblStyle w:val="LightGrid-Accent1"/>
        <w:tblW w:type="auto" w:w="0"/>
        <w:jc w:val="center"/>
        <w:tblLook w:firstColumn="1" w:firstRow="1" w:lastColumn="0" w:lastRow="0" w:noHBand="0" w:noVBand="1" w:val="04A0"/>
      </w:tblPr>
      <w:tblGrid>
        <w:gridCol w:w="4986"/>
        <w:gridCol w:w="4986"/>
      </w:tblGrid>
      <w:tr>
        <w:tc>
          <w:tcPr>
            <w:tcW w:type="dxa" w:w="4986"/>
            <w:shd w:val="clear" w:color="auto" w:fill="1B3A6B"/>
            <w:vAlign w:val="top"/>
          </w:tcPr>
          <w:p>
            <w:r/>
            <w:r>
              <w:rPr>
                <w:rFonts w:ascii="Calibri" w:hAnsi="Calibri"/>
                <w:b/>
                <w:i w:val="0"/>
                <w:color w:val="FFFFFF"/>
                <w:sz w:val="18"/>
              </w:rPr>
              <w:t>Dimension</w:t>
            </w:r>
          </w:p>
        </w:tc>
        <w:tc>
          <w:tcPr>
            <w:tcW w:type="dxa" w:w="4986"/>
            <w:shd w:val="clear" w:color="auto" w:fill="1B3A6B"/>
            <w:vAlign w:val="top"/>
          </w:tcPr>
          <w:p>
            <w:r/>
            <w:r>
              <w:rPr>
                <w:rFonts w:ascii="Calibri" w:hAnsi="Calibri"/>
                <w:b/>
                <w:i w:val="0"/>
                <w:color w:val="FFFFFF"/>
                <w:sz w:val="18"/>
              </w:rPr>
              <w:t>Target</w:t>
            </w:r>
          </w:p>
        </w:tc>
      </w:tr>
      <w:tr>
        <w:tc>
          <w:tcPr>
            <w:tcW w:type="dxa" w:w="4986"/>
            <w:vAlign w:val="top"/>
          </w:tcPr>
          <w:p>
            <w:r/>
            <w:r>
              <w:rPr>
                <w:rFonts w:ascii="Calibri" w:hAnsi="Calibri"/>
                <w:b w:val="0"/>
                <w:i w:val="0"/>
                <w:color w:val="000000"/>
                <w:sz w:val="18"/>
              </w:rPr>
              <w:t>Latency P50 (simple query)</w:t>
            </w:r>
          </w:p>
        </w:tc>
        <w:tc>
          <w:tcPr>
            <w:tcW w:type="dxa" w:w="4986"/>
            <w:vAlign w:val="top"/>
          </w:tcPr>
          <w:p>
            <w:r/>
            <w:r>
              <w:rPr>
                <w:rFonts w:ascii="Calibri" w:hAnsi="Calibri"/>
                <w:b w:val="0"/>
                <w:i w:val="0"/>
                <w:color w:val="000000"/>
                <w:sz w:val="18"/>
              </w:rPr>
              <w:t>&lt; 2 seconds</w:t>
            </w:r>
          </w:p>
        </w:tc>
      </w:tr>
      <w:tr>
        <w:tc>
          <w:tcPr>
            <w:tcW w:type="dxa" w:w="4986"/>
            <w:vAlign w:val="top"/>
          </w:tcPr>
          <w:p>
            <w:r/>
            <w:r>
              <w:rPr>
                <w:rFonts w:ascii="Calibri" w:hAnsi="Calibri"/>
                <w:b w:val="0"/>
                <w:i w:val="0"/>
                <w:color w:val="000000"/>
                <w:sz w:val="18"/>
              </w:rPr>
              <w:t>Latency P95 (multi-hop)</w:t>
            </w:r>
          </w:p>
        </w:tc>
        <w:tc>
          <w:tcPr>
            <w:tcW w:type="dxa" w:w="4986"/>
            <w:vAlign w:val="top"/>
          </w:tcPr>
          <w:p>
            <w:r/>
            <w:r>
              <w:rPr>
                <w:rFonts w:ascii="Calibri" w:hAnsi="Calibri"/>
                <w:b w:val="0"/>
                <w:i w:val="0"/>
                <w:color w:val="000000"/>
                <w:sz w:val="18"/>
              </w:rPr>
              <w:t>&lt; 10 seconds</w:t>
            </w:r>
          </w:p>
        </w:tc>
      </w:tr>
      <w:tr>
        <w:tc>
          <w:tcPr>
            <w:tcW w:type="dxa" w:w="4986"/>
            <w:vAlign w:val="top"/>
          </w:tcPr>
          <w:p>
            <w:r/>
            <w:r>
              <w:rPr>
                <w:rFonts w:ascii="Calibri" w:hAnsi="Calibri"/>
                <w:b w:val="0"/>
                <w:i w:val="0"/>
                <w:color w:val="000000"/>
                <w:sz w:val="18"/>
              </w:rPr>
              <w:t>Concurrent agents</w:t>
            </w:r>
          </w:p>
        </w:tc>
        <w:tc>
          <w:tcPr>
            <w:tcW w:type="dxa" w:w="4986"/>
            <w:vAlign w:val="top"/>
          </w:tcPr>
          <w:p>
            <w:r/>
            <w:r>
              <w:rPr>
                <w:rFonts w:ascii="Calibri" w:hAnsi="Calibri"/>
                <w:b w:val="0"/>
                <w:i w:val="0"/>
                <w:color w:val="000000"/>
                <w:sz w:val="18"/>
              </w:rPr>
              <w:t>100 sustained</w:t>
            </w:r>
          </w:p>
        </w:tc>
      </w:tr>
      <w:tr>
        <w:tc>
          <w:tcPr>
            <w:tcW w:type="dxa" w:w="4986"/>
            <w:vAlign w:val="top"/>
          </w:tcPr>
          <w:p>
            <w:r/>
            <w:r>
              <w:rPr>
                <w:rFonts w:ascii="Calibri" w:hAnsi="Calibri"/>
                <w:b w:val="0"/>
                <w:i w:val="0"/>
                <w:color w:val="000000"/>
                <w:sz w:val="18"/>
              </w:rPr>
              <w:t>Throughput per service</w:t>
            </w:r>
          </w:p>
        </w:tc>
        <w:tc>
          <w:tcPr>
            <w:tcW w:type="dxa" w:w="4986"/>
            <w:vAlign w:val="top"/>
          </w:tcPr>
          <w:p>
            <w:r/>
            <w:r>
              <w:rPr>
                <w:rFonts w:ascii="Calibri" w:hAnsi="Calibri"/>
                <w:b w:val="0"/>
                <w:i w:val="0"/>
                <w:color w:val="000000"/>
                <w:sz w:val="18"/>
              </w:rPr>
              <w:t>1,000 req / minute</w:t>
            </w:r>
          </w:p>
        </w:tc>
      </w:tr>
      <w:tr>
        <w:tc>
          <w:tcPr>
            <w:tcW w:type="dxa" w:w="4986"/>
            <w:vAlign w:val="top"/>
          </w:tcPr>
          <w:p>
            <w:r/>
            <w:r>
              <w:rPr>
                <w:rFonts w:ascii="Calibri" w:hAnsi="Calibri"/>
                <w:b w:val="0"/>
                <w:i w:val="0"/>
                <w:color w:val="000000"/>
                <w:sz w:val="18"/>
              </w:rPr>
              <w:t>Availability</w:t>
            </w:r>
          </w:p>
        </w:tc>
        <w:tc>
          <w:tcPr>
            <w:tcW w:type="dxa" w:w="4986"/>
            <w:vAlign w:val="top"/>
          </w:tcPr>
          <w:p>
            <w:r/>
            <w:r>
              <w:rPr>
                <w:rFonts w:ascii="Calibri" w:hAnsi="Calibri"/>
                <w:b w:val="0"/>
                <w:i w:val="0"/>
                <w:color w:val="000000"/>
                <w:sz w:val="18"/>
              </w:rPr>
              <w:t>99.9 % (multi-AZ)</w:t>
            </w:r>
          </w:p>
        </w:tc>
      </w:tr>
      <w:tr>
        <w:tc>
          <w:tcPr>
            <w:tcW w:type="dxa" w:w="4986"/>
            <w:vAlign w:val="top"/>
          </w:tcPr>
          <w:p>
            <w:r/>
            <w:r>
              <w:rPr>
                <w:rFonts w:ascii="Calibri" w:hAnsi="Calibri"/>
                <w:b w:val="0"/>
                <w:i w:val="0"/>
                <w:color w:val="000000"/>
                <w:sz w:val="18"/>
              </w:rPr>
              <w:t>Data residency</w:t>
            </w:r>
          </w:p>
        </w:tc>
        <w:tc>
          <w:tcPr>
            <w:tcW w:type="dxa" w:w="4986"/>
            <w:vAlign w:val="top"/>
          </w:tcPr>
          <w:p>
            <w:r/>
            <w:r>
              <w:rPr>
                <w:rFonts w:ascii="Calibri" w:hAnsi="Calibri"/>
                <w:b w:val="0"/>
                <w:i w:val="0"/>
                <w:color w:val="000000"/>
                <w:sz w:val="18"/>
              </w:rPr>
              <w:t>Within AWS partition end-to-end</w:t>
            </w:r>
          </w:p>
        </w:tc>
      </w:tr>
      <w:tr>
        <w:tc>
          <w:tcPr>
            <w:tcW w:type="dxa" w:w="4986"/>
            <w:vAlign w:val="top"/>
          </w:tcPr>
          <w:p>
            <w:r/>
            <w:r>
              <w:rPr>
                <w:rFonts w:ascii="Calibri" w:hAnsi="Calibri"/>
                <w:b w:val="0"/>
                <w:i w:val="0"/>
                <w:color w:val="000000"/>
                <w:sz w:val="18"/>
              </w:rPr>
              <w:t>Audit</w:t>
            </w:r>
          </w:p>
        </w:tc>
        <w:tc>
          <w:tcPr>
            <w:tcW w:type="dxa" w:w="4986"/>
            <w:vAlign w:val="top"/>
          </w:tcPr>
          <w:p>
            <w:r/>
            <w:r>
              <w:rPr>
                <w:rFonts w:ascii="Calibri" w:hAnsi="Calibri"/>
                <w:b w:val="0"/>
                <w:i w:val="0"/>
                <w:color w:val="000000"/>
                <w:sz w:val="18"/>
              </w:rPr>
              <w:t>Per-decision lineage; 21 CFR Part 11-ready</w:t>
            </w:r>
          </w:p>
        </w:tc>
      </w:tr>
      <w:tr>
        <w:tc>
          <w:tcPr>
            <w:tcW w:type="dxa" w:w="4986"/>
            <w:vAlign w:val="top"/>
          </w:tcPr>
          <w:p>
            <w:r/>
            <w:r>
              <w:rPr>
                <w:rFonts w:ascii="Calibri" w:hAnsi="Calibri"/>
                <w:b w:val="0"/>
                <w:i w:val="0"/>
                <w:color w:val="000000"/>
                <w:sz w:val="18"/>
              </w:rPr>
              <w:t>Security posture</w:t>
            </w:r>
          </w:p>
        </w:tc>
        <w:tc>
          <w:tcPr>
            <w:tcW w:type="dxa" w:w="4986"/>
            <w:vAlign w:val="top"/>
          </w:tcPr>
          <w:p>
            <w:r/>
            <w:r>
              <w:rPr>
                <w:rFonts w:ascii="Calibri" w:hAnsi="Calibri"/>
                <w:b w:val="0"/>
                <w:i w:val="0"/>
                <w:color w:val="000000"/>
                <w:sz w:val="18"/>
              </w:rPr>
              <w:t>Zero trust; gateway + service authn / authz</w:t>
            </w:r>
          </w:p>
        </w:tc>
      </w:tr>
      <w:tr>
        <w:tc>
          <w:tcPr>
            <w:tcW w:type="dxa" w:w="4986"/>
            <w:vAlign w:val="top"/>
          </w:tcPr>
          <w:p>
            <w:r/>
            <w:r>
              <w:rPr>
                <w:rFonts w:ascii="Calibri" w:hAnsi="Calibri"/>
                <w:b w:val="0"/>
                <w:i w:val="0"/>
                <w:color w:val="000000"/>
                <w:sz w:val="18"/>
              </w:rPr>
              <w:t>Accessibility</w:t>
            </w:r>
          </w:p>
        </w:tc>
        <w:tc>
          <w:tcPr>
            <w:tcW w:type="dxa" w:w="4986"/>
            <w:vAlign w:val="top"/>
          </w:tcPr>
          <w:p>
            <w:r/>
            <w:r>
              <w:rPr>
                <w:rFonts w:ascii="Calibri" w:hAnsi="Calibri"/>
                <w:b w:val="0"/>
                <w:i w:val="0"/>
                <w:color w:val="000000"/>
                <w:sz w:val="18"/>
              </w:rPr>
              <w:t>WCAG 2.2 AA</w:t>
            </w:r>
          </w:p>
        </w:tc>
      </w:tr>
      <w:tr>
        <w:tc>
          <w:tcPr>
            <w:tcW w:type="dxa" w:w="4986"/>
            <w:vAlign w:val="top"/>
          </w:tcPr>
          <w:p>
            <w:r/>
            <w:r>
              <w:rPr>
                <w:rFonts w:ascii="Calibri" w:hAnsi="Calibri"/>
                <w:b w:val="0"/>
                <w:i w:val="0"/>
                <w:color w:val="000000"/>
                <w:sz w:val="18"/>
              </w:rPr>
              <w:t>Mobile experience</w:t>
            </w:r>
          </w:p>
        </w:tc>
        <w:tc>
          <w:tcPr>
            <w:tcW w:type="dxa" w:w="4986"/>
            <w:vAlign w:val="top"/>
          </w:tcPr>
          <w:p>
            <w:r/>
            <w:r>
              <w:rPr>
                <w:rFonts w:ascii="Calibri" w:hAnsi="Calibri"/>
                <w:b w:val="0"/>
                <w:i w:val="0"/>
                <w:color w:val="000000"/>
                <w:sz w:val="18"/>
              </w:rPr>
              <w:t>Functional on tablet and phone</w:t>
            </w:r>
          </w:p>
        </w:tc>
      </w:tr>
    </w:tbl>
    <w:p/>
    <w:p>
      <w:pPr>
        <w:spacing w:before="280" w:after="160"/>
        <w:outlineLvl w:val="1"/>
      </w:pPr>
      <w:r>
        <w:rPr>
          <w:rFonts w:ascii="Calibri" w:hAnsi="Calibri"/>
          <w:b/>
          <w:i w:val="0"/>
          <w:color w:val="1B3A6B"/>
          <w:sz w:val="34"/>
        </w:rPr>
        <w:t>19.  Programme Risks and Mitigations</w:t>
      </w:r>
    </w:p>
    <w:tbl>
      <w:tblPr>
        <w:tblStyle w:val="LightGrid-Accent1"/>
        <w:tblW w:type="auto" w:w="0"/>
        <w:jc w:val="center"/>
        <w:tblLook w:firstColumn="1" w:firstRow="1" w:lastColumn="0" w:lastRow="0" w:noHBand="0" w:noVBand="1" w:val="04A0"/>
      </w:tblPr>
      <w:tblGrid>
        <w:gridCol w:w="2493"/>
        <w:gridCol w:w="2493"/>
        <w:gridCol w:w="2493"/>
        <w:gridCol w:w="2493"/>
      </w:tblGrid>
      <w:tr>
        <w:tc>
          <w:tcPr>
            <w:tcW w:type="dxa" w:w="2493"/>
            <w:shd w:val="clear" w:color="auto" w:fill="1B3A6B"/>
            <w:vAlign w:val="top"/>
          </w:tcPr>
          <w:p>
            <w:r/>
            <w:r>
              <w:rPr>
                <w:rFonts w:ascii="Calibri" w:hAnsi="Calibri"/>
                <w:b/>
                <w:i w:val="0"/>
                <w:color w:val="FFFFFF"/>
                <w:sz w:val="18"/>
              </w:rPr>
              <w:t>Risk</w:t>
            </w:r>
          </w:p>
        </w:tc>
        <w:tc>
          <w:tcPr>
            <w:tcW w:type="dxa" w:w="2493"/>
            <w:shd w:val="clear" w:color="auto" w:fill="1B3A6B"/>
            <w:vAlign w:val="top"/>
          </w:tcPr>
          <w:p>
            <w:r/>
            <w:r>
              <w:rPr>
                <w:rFonts w:ascii="Calibri" w:hAnsi="Calibri"/>
                <w:b/>
                <w:i w:val="0"/>
                <w:color w:val="FFFFFF"/>
                <w:sz w:val="18"/>
              </w:rPr>
              <w:t>Likelihood</w:t>
            </w:r>
          </w:p>
        </w:tc>
        <w:tc>
          <w:tcPr>
            <w:tcW w:type="dxa" w:w="2493"/>
            <w:shd w:val="clear" w:color="auto" w:fill="1B3A6B"/>
            <w:vAlign w:val="top"/>
          </w:tcPr>
          <w:p>
            <w:r/>
            <w:r>
              <w:rPr>
                <w:rFonts w:ascii="Calibri" w:hAnsi="Calibri"/>
                <w:b/>
                <w:i w:val="0"/>
                <w:color w:val="FFFFFF"/>
                <w:sz w:val="18"/>
              </w:rPr>
              <w:t>Impact</w:t>
            </w:r>
          </w:p>
        </w:tc>
        <w:tc>
          <w:tcPr>
            <w:tcW w:type="dxa" w:w="2493"/>
            <w:shd w:val="clear" w:color="auto" w:fill="1B3A6B"/>
            <w:vAlign w:val="top"/>
          </w:tcPr>
          <w:p>
            <w:r/>
            <w:r>
              <w:rPr>
                <w:rFonts w:ascii="Calibri" w:hAnsi="Calibri"/>
                <w:b/>
                <w:i w:val="0"/>
                <w:color w:val="FFFFFF"/>
                <w:sz w:val="18"/>
              </w:rPr>
              <w:t>Mitigation</w:t>
            </w:r>
          </w:p>
        </w:tc>
      </w:tr>
      <w:tr>
        <w:tc>
          <w:tcPr>
            <w:tcW w:type="dxa" w:w="2493"/>
            <w:vAlign w:val="top"/>
          </w:tcPr>
          <w:p>
            <w:r/>
            <w:r>
              <w:rPr>
                <w:rFonts w:ascii="Calibri" w:hAnsi="Calibri"/>
                <w:b w:val="0"/>
                <w:i w:val="0"/>
                <w:color w:val="000000"/>
                <w:sz w:val="18"/>
              </w:rPr>
              <w:t>LLM API rate limit under concurrent load</w:t>
            </w:r>
          </w:p>
        </w:tc>
        <w:tc>
          <w:tcPr>
            <w:tcW w:type="dxa" w:w="2493"/>
            <w:vAlign w:val="top"/>
          </w:tcPr>
          <w:p>
            <w:r/>
            <w:r>
              <w:rPr>
                <w:rFonts w:ascii="Calibri" w:hAnsi="Calibri"/>
                <w:b w:val="0"/>
                <w:i w:val="0"/>
                <w:color w:val="000000"/>
                <w:sz w:val="18"/>
              </w:rPr>
              <w:t>Medium</w:t>
            </w:r>
          </w:p>
        </w:tc>
        <w:tc>
          <w:tcPr>
            <w:tcW w:type="dxa" w:w="2493"/>
            <w:vAlign w:val="top"/>
          </w:tcPr>
          <w:p>
            <w:r/>
            <w:r>
              <w:rPr>
                <w:rFonts w:ascii="Calibri" w:hAnsi="Calibri"/>
                <w:b w:val="0"/>
                <w:i w:val="0"/>
                <w:color w:val="000000"/>
                <w:sz w:val="18"/>
              </w:rPr>
              <w:t>High</w:t>
            </w:r>
          </w:p>
        </w:tc>
        <w:tc>
          <w:tcPr>
            <w:tcW w:type="dxa" w:w="2493"/>
            <w:vAlign w:val="top"/>
          </w:tcPr>
          <w:p>
            <w:r/>
            <w:r>
              <w:rPr>
                <w:rFonts w:ascii="Calibri" w:hAnsi="Calibri"/>
                <w:b w:val="0"/>
                <w:i w:val="0"/>
                <w:color w:val="000000"/>
                <w:sz w:val="18"/>
              </w:rPr>
              <w:t>Queueing; exponential backoff; cache frequent queries</w:t>
            </w:r>
          </w:p>
        </w:tc>
      </w:tr>
      <w:tr>
        <w:tc>
          <w:tcPr>
            <w:tcW w:type="dxa" w:w="2493"/>
            <w:vAlign w:val="top"/>
          </w:tcPr>
          <w:p>
            <w:r/>
            <w:r>
              <w:rPr>
                <w:rFonts w:ascii="Calibri" w:hAnsi="Calibri"/>
                <w:b w:val="0"/>
                <w:i w:val="0"/>
                <w:color w:val="000000"/>
                <w:sz w:val="18"/>
              </w:rPr>
              <w:t>Bedrock service availability in eu-central-1 for Phase 3</w:t>
            </w:r>
          </w:p>
        </w:tc>
        <w:tc>
          <w:tcPr>
            <w:tcW w:type="dxa" w:w="2493"/>
            <w:vAlign w:val="top"/>
          </w:tcPr>
          <w:p>
            <w:r/>
            <w:r>
              <w:rPr>
                <w:rFonts w:ascii="Calibri" w:hAnsi="Calibri"/>
                <w:b w:val="0"/>
                <w:i w:val="0"/>
                <w:color w:val="000000"/>
                <w:sz w:val="18"/>
              </w:rPr>
              <w:t>Low</w:t>
            </w:r>
          </w:p>
        </w:tc>
        <w:tc>
          <w:tcPr>
            <w:tcW w:type="dxa" w:w="2493"/>
            <w:vAlign w:val="top"/>
          </w:tcPr>
          <w:p>
            <w:r/>
            <w:r>
              <w:rPr>
                <w:rFonts w:ascii="Calibri" w:hAnsi="Calibri"/>
                <w:b w:val="0"/>
                <w:i w:val="0"/>
                <w:color w:val="000000"/>
                <w:sz w:val="18"/>
              </w:rPr>
              <w:t>High</w:t>
            </w:r>
          </w:p>
        </w:tc>
        <w:tc>
          <w:tcPr>
            <w:tcW w:type="dxa" w:w="2493"/>
            <w:vAlign w:val="top"/>
          </w:tcPr>
          <w:p>
            <w:r/>
            <w:r>
              <w:rPr>
                <w:rFonts w:ascii="Calibri" w:hAnsi="Calibri"/>
                <w:b w:val="0"/>
                <w:i w:val="0"/>
                <w:color w:val="000000"/>
                <w:sz w:val="18"/>
              </w:rPr>
              <w:t>Cross-region fallback or Anthropic</w:t>
            </w:r>
          </w:p>
        </w:tc>
      </w:tr>
      <w:tr>
        <w:tc>
          <w:tcPr>
            <w:tcW w:type="dxa" w:w="2493"/>
            <w:vAlign w:val="top"/>
          </w:tcPr>
          <w:p>
            <w:r/>
            <w:r>
              <w:rPr>
                <w:rFonts w:ascii="Calibri" w:hAnsi="Calibri"/>
                <w:b w:val="0"/>
                <w:i w:val="0"/>
                <w:color w:val="000000"/>
                <w:sz w:val="18"/>
              </w:rPr>
              <w:t>SEC EDGAR / ChEMBL licensing beyond fair-use</w:t>
            </w:r>
          </w:p>
        </w:tc>
        <w:tc>
          <w:tcPr>
            <w:tcW w:type="dxa" w:w="2493"/>
            <w:vAlign w:val="top"/>
          </w:tcPr>
          <w:p>
            <w:r/>
            <w:r>
              <w:rPr>
                <w:rFonts w:ascii="Calibri" w:hAnsi="Calibri"/>
                <w:b w:val="0"/>
                <w:i w:val="0"/>
                <w:color w:val="000000"/>
                <w:sz w:val="18"/>
              </w:rPr>
              <w:t>Medium</w:t>
            </w:r>
          </w:p>
        </w:tc>
        <w:tc>
          <w:tcPr>
            <w:tcW w:type="dxa" w:w="2493"/>
            <w:vAlign w:val="top"/>
          </w:tcPr>
          <w:p>
            <w:r/>
            <w:r>
              <w:rPr>
                <w:rFonts w:ascii="Calibri" w:hAnsi="Calibri"/>
                <w:b w:val="0"/>
                <w:i w:val="0"/>
                <w:color w:val="000000"/>
                <w:sz w:val="18"/>
              </w:rPr>
              <w:t>Medium</w:t>
            </w:r>
          </w:p>
        </w:tc>
        <w:tc>
          <w:tcPr>
            <w:tcW w:type="dxa" w:w="2493"/>
            <w:vAlign w:val="top"/>
          </w:tcPr>
          <w:p>
            <w:r/>
            <w:r>
              <w:rPr>
                <w:rFonts w:ascii="Calibri" w:hAnsi="Calibri"/>
                <w:b w:val="0"/>
                <w:i w:val="0"/>
                <w:color w:val="000000"/>
                <w:sz w:val="18"/>
              </w:rPr>
              <w:t>Procurement workstream in parallel with Phase 3</w:t>
            </w:r>
          </w:p>
        </w:tc>
      </w:tr>
      <w:tr>
        <w:tc>
          <w:tcPr>
            <w:tcW w:type="dxa" w:w="2493"/>
            <w:vAlign w:val="top"/>
          </w:tcPr>
          <w:p>
            <w:r/>
            <w:r>
              <w:rPr>
                <w:rFonts w:ascii="Calibri" w:hAnsi="Calibri"/>
                <w:b w:val="0"/>
                <w:i w:val="0"/>
                <w:color w:val="000000"/>
                <w:sz w:val="18"/>
              </w:rPr>
              <w:t>Change management on persona workflows</w:t>
            </w:r>
          </w:p>
        </w:tc>
        <w:tc>
          <w:tcPr>
            <w:tcW w:type="dxa" w:w="2493"/>
            <w:vAlign w:val="top"/>
          </w:tcPr>
          <w:p>
            <w:r/>
            <w:r>
              <w:rPr>
                <w:rFonts w:ascii="Calibri" w:hAnsi="Calibri"/>
                <w:b w:val="0"/>
                <w:i w:val="0"/>
                <w:color w:val="000000"/>
                <w:sz w:val="18"/>
              </w:rPr>
              <w:t>Medium</w:t>
            </w:r>
          </w:p>
        </w:tc>
        <w:tc>
          <w:tcPr>
            <w:tcW w:type="dxa" w:w="2493"/>
            <w:vAlign w:val="top"/>
          </w:tcPr>
          <w:p>
            <w:r/>
            <w:r>
              <w:rPr>
                <w:rFonts w:ascii="Calibri" w:hAnsi="Calibri"/>
                <w:b w:val="0"/>
                <w:i w:val="0"/>
                <w:color w:val="000000"/>
                <w:sz w:val="18"/>
              </w:rPr>
              <w:t>Medium</w:t>
            </w:r>
          </w:p>
        </w:tc>
        <w:tc>
          <w:tcPr>
            <w:tcW w:type="dxa" w:w="2493"/>
            <w:vAlign w:val="top"/>
          </w:tcPr>
          <w:p>
            <w:r/>
            <w:r>
              <w:rPr>
                <w:rFonts w:ascii="Calibri" w:hAnsi="Calibri"/>
                <w:b w:val="0"/>
                <w:i w:val="0"/>
                <w:color w:val="000000"/>
                <w:sz w:val="18"/>
              </w:rPr>
              <w:t>Internal champions; phased rollout</w:t>
            </w:r>
          </w:p>
        </w:tc>
      </w:tr>
      <w:tr>
        <w:tc>
          <w:tcPr>
            <w:tcW w:type="dxa" w:w="2493"/>
            <w:vAlign w:val="top"/>
          </w:tcPr>
          <w:p>
            <w:r/>
            <w:r>
              <w:rPr>
                <w:rFonts w:ascii="Calibri" w:hAnsi="Calibri"/>
                <w:b w:val="0"/>
                <w:i w:val="0"/>
                <w:color w:val="000000"/>
                <w:sz w:val="18"/>
              </w:rPr>
              <w:t>JWT secret compromise</w:t>
            </w:r>
          </w:p>
        </w:tc>
        <w:tc>
          <w:tcPr>
            <w:tcW w:type="dxa" w:w="2493"/>
            <w:vAlign w:val="top"/>
          </w:tcPr>
          <w:p>
            <w:r/>
            <w:r>
              <w:rPr>
                <w:rFonts w:ascii="Calibri" w:hAnsi="Calibri"/>
                <w:b w:val="0"/>
                <w:i w:val="0"/>
                <w:color w:val="000000"/>
                <w:sz w:val="18"/>
              </w:rPr>
              <w:t>Low</w:t>
            </w:r>
          </w:p>
        </w:tc>
        <w:tc>
          <w:tcPr>
            <w:tcW w:type="dxa" w:w="2493"/>
            <w:vAlign w:val="top"/>
          </w:tcPr>
          <w:p>
            <w:r/>
            <w:r>
              <w:rPr>
                <w:rFonts w:ascii="Calibri" w:hAnsi="Calibri"/>
                <w:b w:val="0"/>
                <w:i w:val="0"/>
                <w:color w:val="000000"/>
                <w:sz w:val="18"/>
              </w:rPr>
              <w:t>Critical</w:t>
            </w:r>
          </w:p>
        </w:tc>
        <w:tc>
          <w:tcPr>
            <w:tcW w:type="dxa" w:w="2493"/>
            <w:vAlign w:val="top"/>
          </w:tcPr>
          <w:p>
            <w:r/>
            <w:r>
              <w:rPr>
                <w:rFonts w:ascii="Calibri" w:hAnsi="Calibri"/>
                <w:b w:val="0"/>
                <w:i w:val="0"/>
                <w:color w:val="000000"/>
                <w:sz w:val="18"/>
              </w:rPr>
              <w:t>Rotation policy; future RS256</w:t>
            </w:r>
          </w:p>
        </w:tc>
      </w:tr>
      <w:tr>
        <w:tc>
          <w:tcPr>
            <w:tcW w:type="dxa" w:w="2493"/>
            <w:vAlign w:val="top"/>
          </w:tcPr>
          <w:p>
            <w:r/>
            <w:r>
              <w:rPr>
                <w:rFonts w:ascii="Calibri" w:hAnsi="Calibri"/>
                <w:b w:val="0"/>
                <w:i w:val="0"/>
                <w:color w:val="000000"/>
                <w:sz w:val="18"/>
              </w:rPr>
              <w:t>Neo4j data loss</w:t>
            </w:r>
          </w:p>
        </w:tc>
        <w:tc>
          <w:tcPr>
            <w:tcW w:type="dxa" w:w="2493"/>
            <w:vAlign w:val="top"/>
          </w:tcPr>
          <w:p>
            <w:r/>
            <w:r>
              <w:rPr>
                <w:rFonts w:ascii="Calibri" w:hAnsi="Calibri"/>
                <w:b w:val="0"/>
                <w:i w:val="0"/>
                <w:color w:val="000000"/>
                <w:sz w:val="18"/>
              </w:rPr>
              <w:t>Low</w:t>
            </w:r>
          </w:p>
        </w:tc>
        <w:tc>
          <w:tcPr>
            <w:tcW w:type="dxa" w:w="2493"/>
            <w:vAlign w:val="top"/>
          </w:tcPr>
          <w:p>
            <w:r/>
            <w:r>
              <w:rPr>
                <w:rFonts w:ascii="Calibri" w:hAnsi="Calibri"/>
                <w:b w:val="0"/>
                <w:i w:val="0"/>
                <w:color w:val="000000"/>
                <w:sz w:val="18"/>
              </w:rPr>
              <w:t>Critical</w:t>
            </w:r>
          </w:p>
        </w:tc>
        <w:tc>
          <w:tcPr>
            <w:tcW w:type="dxa" w:w="2493"/>
            <w:vAlign w:val="top"/>
          </w:tcPr>
          <w:p>
            <w:r/>
            <w:r>
              <w:rPr>
                <w:rFonts w:ascii="Calibri" w:hAnsi="Calibri"/>
                <w:b w:val="0"/>
                <w:i w:val="0"/>
                <w:color w:val="000000"/>
                <w:sz w:val="18"/>
              </w:rPr>
              <w:t>S3 snapshot policy in Phase 2</w:t>
            </w:r>
          </w:p>
        </w:tc>
      </w:tr>
      <w:tr>
        <w:tc>
          <w:tcPr>
            <w:tcW w:type="dxa" w:w="2493"/>
            <w:vAlign w:val="top"/>
          </w:tcPr>
          <w:p>
            <w:r/>
            <w:r>
              <w:rPr>
                <w:rFonts w:ascii="Calibri" w:hAnsi="Calibri"/>
                <w:b w:val="0"/>
                <w:i w:val="0"/>
                <w:color w:val="000000"/>
                <w:sz w:val="18"/>
              </w:rPr>
              <w:t>Dependency CVE in 175-package requirements</w:t>
            </w:r>
          </w:p>
        </w:tc>
        <w:tc>
          <w:tcPr>
            <w:tcW w:type="dxa" w:w="2493"/>
            <w:vAlign w:val="top"/>
          </w:tcPr>
          <w:p>
            <w:r/>
            <w:r>
              <w:rPr>
                <w:rFonts w:ascii="Calibri" w:hAnsi="Calibri"/>
                <w:b w:val="0"/>
                <w:i w:val="0"/>
                <w:color w:val="000000"/>
                <w:sz w:val="18"/>
              </w:rPr>
              <w:t>Medium</w:t>
            </w:r>
          </w:p>
        </w:tc>
        <w:tc>
          <w:tcPr>
            <w:tcW w:type="dxa" w:w="2493"/>
            <w:vAlign w:val="top"/>
          </w:tcPr>
          <w:p>
            <w:r/>
            <w:r>
              <w:rPr>
                <w:rFonts w:ascii="Calibri" w:hAnsi="Calibri"/>
                <w:b w:val="0"/>
                <w:i w:val="0"/>
                <w:color w:val="000000"/>
                <w:sz w:val="18"/>
              </w:rPr>
              <w:t>Medium</w:t>
            </w:r>
          </w:p>
        </w:tc>
        <w:tc>
          <w:tcPr>
            <w:tcW w:type="dxa" w:w="2493"/>
            <w:vAlign w:val="top"/>
          </w:tcPr>
          <w:p>
            <w:r/>
            <w:r>
              <w:rPr>
                <w:rFonts w:ascii="Calibri" w:hAnsi="Calibri"/>
                <w:b w:val="0"/>
                <w:i w:val="0"/>
                <w:color w:val="000000"/>
                <w:sz w:val="18"/>
              </w:rPr>
              <w:t>pip-audit in CI; Dependabot</w:t>
            </w:r>
          </w:p>
        </w:tc>
      </w:tr>
    </w:tbl>
    <w:p/>
    <w:p>
      <w:pPr>
        <w:spacing w:before="280" w:after="160"/>
        <w:outlineLvl w:val="1"/>
      </w:pPr>
      <w:r>
        <w:rPr>
          <w:rFonts w:ascii="Calibri" w:hAnsi="Calibri"/>
          <w:b/>
          <w:i w:val="0"/>
          <w:color w:val="1B3A6B"/>
          <w:sz w:val="34"/>
        </w:rPr>
        <w:t>20.  Recommendation</w:t>
      </w:r>
    </w:p>
    <w:p>
      <w:pPr>
        <w:spacing w:after="120"/>
        <w:jc w:val="both"/>
      </w:pPr>
      <w:r>
        <w:rPr>
          <w:rFonts w:ascii="Calibri" w:hAnsi="Calibri"/>
          <w:b w:val="0"/>
          <w:i w:val="0"/>
          <w:color w:val="000000"/>
          <w:sz w:val="21"/>
        </w:rPr>
        <w:t>We recommend proceeding to the four-phase remediation and next-generation roadmap, with the eight-week Phase 1 + Phase 2 security and operational backbone as the first commitment. The platform's architectural strengths — clean DDD layering, comprehensive ontology, dual-LLM resilience, stateless MCP, streaming SSE, and parameterised Cypher — mean that hardening work compounds rather than displaces what already works.</w:t>
      </w:r>
    </w:p>
    <w:p>
      <w:pPr>
        <w:spacing w:after="120"/>
        <w:jc w:val="both"/>
      </w:pPr>
      <w:r>
        <w:rPr>
          <w:rFonts w:ascii="Calibri" w:hAnsi="Calibri"/>
          <w:b w:val="0"/>
          <w:i w:val="0"/>
          <w:color w:val="000000"/>
          <w:sz w:val="21"/>
        </w:rPr>
        <w:t>With the recommended investment, Eugene transitions from a credible first-generation internal tool to a strategic CSL asset that materially shortens BD diligence cycles by synthesising structured and unstructured intelligence in a single conversational, governed, auditable surface.</w:t>
      </w:r>
    </w:p>
    <w:p>
      <w:r>
        <w:br w:type="page"/>
      </w:r>
    </w:p>
    <w:p>
      <w:pPr>
        <w:spacing w:before="360" w:after="240"/>
        <w:outlineLvl w:val="0"/>
      </w:pPr>
      <w:r>
        <w:rPr>
          <w:rFonts w:ascii="Calibri" w:hAnsi="Calibri"/>
          <w:b/>
          <w:i w:val="0"/>
          <w:color w:val="A6192E"/>
          <w:sz w:val="48"/>
        </w:rPr>
        <w:t>Appendices</w:t>
      </w:r>
    </w:p>
    <w:p>
      <w:r>
        <w:br w:type="page"/>
      </w:r>
    </w:p>
    <w:p>
      <w:pPr>
        <w:spacing w:before="280" w:after="160"/>
        <w:outlineLvl w:val="1"/>
      </w:pPr>
      <w:r>
        <w:rPr>
          <w:rFonts w:ascii="Calibri" w:hAnsi="Calibri"/>
          <w:b/>
          <w:i w:val="0"/>
          <w:color w:val="1B3A6B"/>
          <w:sz w:val="34"/>
        </w:rPr>
        <w:t>Appendix A — Source Documents</w:t>
      </w:r>
    </w:p>
    <w:p>
      <w:pPr>
        <w:pStyle w:val="ListBullet"/>
        <w:spacing w:after="40"/>
      </w:pPr>
      <w:r>
        <w:rPr>
          <w:rFonts w:ascii="Calibri" w:hAnsi="Calibri"/>
          <w:b w:val="0"/>
          <w:i w:val="0"/>
          <w:sz w:val="21"/>
        </w:rPr>
        <w:t>EUGENE_PROJECT_VALIDATION_DOCUMENT.md (v1.0, March 2026).</w:t>
      </w:r>
    </w:p>
    <w:p>
      <w:pPr>
        <w:pStyle w:val="ListBullet"/>
        <w:spacing w:after="40"/>
      </w:pPr>
      <w:r>
        <w:rPr>
          <w:rFonts w:ascii="Calibri" w:hAnsi="Calibri"/>
          <w:b w:val="0"/>
          <w:i w:val="0"/>
          <w:sz w:val="21"/>
        </w:rPr>
        <w:t>EUGENE_STAGE1_ASSESSMENT_REPORT.pdf (April 2026).</w:t>
      </w:r>
    </w:p>
    <w:p>
      <w:pPr>
        <w:pStyle w:val="ListBullet"/>
        <w:spacing w:after="40"/>
      </w:pPr>
      <w:r>
        <w:rPr>
          <w:rFonts w:ascii="Calibri" w:hAnsi="Calibri"/>
          <w:b w:val="0"/>
          <w:i w:val="0"/>
          <w:sz w:val="21"/>
        </w:rPr>
        <w:t>EUGENE_DEVELOPER_GUIDE.md (and the published PDF / DOCX).</w:t>
      </w:r>
    </w:p>
    <w:p>
      <w:pPr>
        <w:pStyle w:val="ListBullet"/>
        <w:spacing w:after="40"/>
      </w:pPr>
      <w:r>
        <w:rPr>
          <w:rFonts w:ascii="Calibri" w:hAnsi="Calibri"/>
          <w:b w:val="0"/>
          <w:i w:val="0"/>
          <w:sz w:val="21"/>
        </w:rPr>
        <w:t>CSL_Arch_nextGen.pdf — next-generation architecture proposal.</w:t>
      </w:r>
    </w:p>
    <w:p>
      <w:pPr>
        <w:pStyle w:val="ListBullet"/>
        <w:spacing w:after="40"/>
      </w:pPr>
      <w:r>
        <w:rPr>
          <w:rFonts w:ascii="Calibri" w:hAnsi="Calibri"/>
          <w:b w:val="0"/>
          <w:i w:val="0"/>
          <w:sz w:val="21"/>
        </w:rPr>
        <w:t>Supporting: oauth.md, entra_id.md, dns.md, csl_aws.md, maintenance.md, terraform.md, docker.md, local_dev_setup.md, ROUTE_DEEP_DIVE.md, EUGENE_PROJECT_EVALUATION.pdf, EUGENE_TECHNICAL_RECOMMENDATIONS.pdf.</w:t>
      </w:r>
    </w:p>
    <w:p>
      <w:pPr>
        <w:spacing w:before="280" w:after="160"/>
        <w:outlineLvl w:val="1"/>
      </w:pPr>
      <w:r>
        <w:rPr>
          <w:rFonts w:ascii="Calibri" w:hAnsi="Calibri"/>
          <w:b/>
          <w:i w:val="0"/>
          <w:color w:val="1B3A6B"/>
          <w:sz w:val="34"/>
        </w:rPr>
        <w:t>Appendix B — Glossary</w:t>
      </w:r>
    </w:p>
    <w:tbl>
      <w:tblPr>
        <w:tblStyle w:val="LightGrid-Accent1"/>
        <w:tblW w:type="auto" w:w="0"/>
        <w:jc w:val="center"/>
        <w:tblLook w:firstColumn="1" w:firstRow="1" w:lastColumn="0" w:lastRow="0" w:noHBand="0" w:noVBand="1" w:val="04A0"/>
      </w:tblPr>
      <w:tblGrid>
        <w:gridCol w:w="4986"/>
        <w:gridCol w:w="4986"/>
      </w:tblGrid>
      <w:tr>
        <w:tc>
          <w:tcPr>
            <w:tcW w:type="dxa" w:w="4986"/>
            <w:shd w:val="clear" w:color="auto" w:fill="1B3A6B"/>
            <w:vAlign w:val="top"/>
          </w:tcPr>
          <w:p>
            <w:r/>
            <w:r>
              <w:rPr>
                <w:rFonts w:ascii="Calibri" w:hAnsi="Calibri"/>
                <w:b/>
                <w:i w:val="0"/>
                <w:color w:val="FFFFFF"/>
                <w:sz w:val="18"/>
              </w:rPr>
              <w:t>Term</w:t>
            </w:r>
          </w:p>
        </w:tc>
        <w:tc>
          <w:tcPr>
            <w:tcW w:type="dxa" w:w="4986"/>
            <w:shd w:val="clear" w:color="auto" w:fill="1B3A6B"/>
            <w:vAlign w:val="top"/>
          </w:tcPr>
          <w:p>
            <w:r/>
            <w:r>
              <w:rPr>
                <w:rFonts w:ascii="Calibri" w:hAnsi="Calibri"/>
                <w:b/>
                <w:i w:val="0"/>
                <w:color w:val="FFFFFF"/>
                <w:sz w:val="18"/>
              </w:rPr>
              <w:t>Meaning</w:t>
            </w:r>
          </w:p>
        </w:tc>
      </w:tr>
      <w:tr>
        <w:tc>
          <w:tcPr>
            <w:tcW w:type="dxa" w:w="4986"/>
            <w:vAlign w:val="top"/>
          </w:tcPr>
          <w:p>
            <w:r/>
            <w:r>
              <w:rPr>
                <w:rFonts w:ascii="Calibri" w:hAnsi="Calibri"/>
                <w:b w:val="0"/>
                <w:i w:val="0"/>
                <w:color w:val="000000"/>
                <w:sz w:val="18"/>
              </w:rPr>
              <w:t>AgentCore</w:t>
            </w:r>
          </w:p>
        </w:tc>
        <w:tc>
          <w:tcPr>
            <w:tcW w:type="dxa" w:w="4986"/>
            <w:vAlign w:val="top"/>
          </w:tcPr>
          <w:p>
            <w:r/>
            <w:r>
              <w:rPr>
                <w:rFonts w:ascii="Calibri" w:hAnsi="Calibri"/>
                <w:b w:val="0"/>
                <w:i w:val="0"/>
                <w:color w:val="000000"/>
                <w:sz w:val="18"/>
              </w:rPr>
              <w:t>AWS Bedrock managed services for agent runtime, memory, gateway, observability</w:t>
            </w:r>
          </w:p>
        </w:tc>
      </w:tr>
      <w:tr>
        <w:tc>
          <w:tcPr>
            <w:tcW w:type="dxa" w:w="4986"/>
            <w:vAlign w:val="top"/>
          </w:tcPr>
          <w:p>
            <w:r/>
            <w:r>
              <w:rPr>
                <w:rFonts w:ascii="Calibri" w:hAnsi="Calibri"/>
                <w:b w:val="0"/>
                <w:i w:val="0"/>
                <w:color w:val="000000"/>
                <w:sz w:val="18"/>
              </w:rPr>
              <w:t>ALB</w:t>
            </w:r>
          </w:p>
        </w:tc>
        <w:tc>
          <w:tcPr>
            <w:tcW w:type="dxa" w:w="4986"/>
            <w:vAlign w:val="top"/>
          </w:tcPr>
          <w:p>
            <w:r/>
            <w:r>
              <w:rPr>
                <w:rFonts w:ascii="Calibri" w:hAnsi="Calibri"/>
                <w:b w:val="0"/>
                <w:i w:val="0"/>
                <w:color w:val="000000"/>
                <w:sz w:val="18"/>
              </w:rPr>
              <w:t>Application Load Balancer (AWS)</w:t>
            </w:r>
          </w:p>
        </w:tc>
      </w:tr>
      <w:tr>
        <w:tc>
          <w:tcPr>
            <w:tcW w:type="dxa" w:w="4986"/>
            <w:vAlign w:val="top"/>
          </w:tcPr>
          <w:p>
            <w:r/>
            <w:r>
              <w:rPr>
                <w:rFonts w:ascii="Calibri" w:hAnsi="Calibri"/>
                <w:b w:val="0"/>
                <w:i w:val="0"/>
                <w:color w:val="000000"/>
                <w:sz w:val="18"/>
              </w:rPr>
              <w:t>APOC</w:t>
            </w:r>
          </w:p>
        </w:tc>
        <w:tc>
          <w:tcPr>
            <w:tcW w:type="dxa" w:w="4986"/>
            <w:vAlign w:val="top"/>
          </w:tcPr>
          <w:p>
            <w:r/>
            <w:r>
              <w:rPr>
                <w:rFonts w:ascii="Calibri" w:hAnsi="Calibri"/>
                <w:b w:val="0"/>
                <w:i w:val="0"/>
                <w:color w:val="000000"/>
                <w:sz w:val="18"/>
              </w:rPr>
              <w:t>Awesome Procedures On Cypher (Neo4j plugin library)</w:t>
            </w:r>
          </w:p>
        </w:tc>
      </w:tr>
      <w:tr>
        <w:tc>
          <w:tcPr>
            <w:tcW w:type="dxa" w:w="4986"/>
            <w:vAlign w:val="top"/>
          </w:tcPr>
          <w:p>
            <w:r/>
            <w:r>
              <w:rPr>
                <w:rFonts w:ascii="Calibri" w:hAnsi="Calibri"/>
                <w:b w:val="0"/>
                <w:i w:val="0"/>
                <w:color w:val="000000"/>
                <w:sz w:val="18"/>
              </w:rPr>
              <w:t>DDD</w:t>
            </w:r>
          </w:p>
        </w:tc>
        <w:tc>
          <w:tcPr>
            <w:tcW w:type="dxa" w:w="4986"/>
            <w:vAlign w:val="top"/>
          </w:tcPr>
          <w:p>
            <w:r/>
            <w:r>
              <w:rPr>
                <w:rFonts w:ascii="Calibri" w:hAnsi="Calibri"/>
                <w:b w:val="0"/>
                <w:i w:val="0"/>
                <w:color w:val="000000"/>
                <w:sz w:val="18"/>
              </w:rPr>
              <w:t>Domain-Driven Design</w:t>
            </w:r>
          </w:p>
        </w:tc>
      </w:tr>
      <w:tr>
        <w:tc>
          <w:tcPr>
            <w:tcW w:type="dxa" w:w="4986"/>
            <w:vAlign w:val="top"/>
          </w:tcPr>
          <w:p>
            <w:r/>
            <w:r>
              <w:rPr>
                <w:rFonts w:ascii="Calibri" w:hAnsi="Calibri"/>
                <w:b w:val="0"/>
                <w:i w:val="0"/>
                <w:color w:val="000000"/>
                <w:sz w:val="18"/>
              </w:rPr>
              <w:t>ECR / ECS</w:t>
            </w:r>
          </w:p>
        </w:tc>
        <w:tc>
          <w:tcPr>
            <w:tcW w:type="dxa" w:w="4986"/>
            <w:vAlign w:val="top"/>
          </w:tcPr>
          <w:p>
            <w:r/>
            <w:r>
              <w:rPr>
                <w:rFonts w:ascii="Calibri" w:hAnsi="Calibri"/>
                <w:b w:val="0"/>
                <w:i w:val="0"/>
                <w:color w:val="000000"/>
                <w:sz w:val="18"/>
              </w:rPr>
              <w:t>Elastic Container Registry / Service (AWS)</w:t>
            </w:r>
          </w:p>
        </w:tc>
      </w:tr>
      <w:tr>
        <w:tc>
          <w:tcPr>
            <w:tcW w:type="dxa" w:w="4986"/>
            <w:vAlign w:val="top"/>
          </w:tcPr>
          <w:p>
            <w:r/>
            <w:r>
              <w:rPr>
                <w:rFonts w:ascii="Calibri" w:hAnsi="Calibri"/>
                <w:b w:val="0"/>
                <w:i w:val="0"/>
                <w:color w:val="000000"/>
                <w:sz w:val="18"/>
              </w:rPr>
              <w:t>GDS</w:t>
            </w:r>
          </w:p>
        </w:tc>
        <w:tc>
          <w:tcPr>
            <w:tcW w:type="dxa" w:w="4986"/>
            <w:vAlign w:val="top"/>
          </w:tcPr>
          <w:p>
            <w:r/>
            <w:r>
              <w:rPr>
                <w:rFonts w:ascii="Calibri" w:hAnsi="Calibri"/>
                <w:b w:val="0"/>
                <w:i w:val="0"/>
                <w:color w:val="000000"/>
                <w:sz w:val="18"/>
              </w:rPr>
              <w:t>Graph Data Science (Neo4j plugin)</w:t>
            </w:r>
          </w:p>
        </w:tc>
      </w:tr>
      <w:tr>
        <w:tc>
          <w:tcPr>
            <w:tcW w:type="dxa" w:w="4986"/>
            <w:vAlign w:val="top"/>
          </w:tcPr>
          <w:p>
            <w:r/>
            <w:r>
              <w:rPr>
                <w:rFonts w:ascii="Calibri" w:hAnsi="Calibri"/>
                <w:b w:val="0"/>
                <w:i w:val="0"/>
                <w:color w:val="000000"/>
                <w:sz w:val="18"/>
              </w:rPr>
              <w:t>HS256 / RS256</w:t>
            </w:r>
          </w:p>
        </w:tc>
        <w:tc>
          <w:tcPr>
            <w:tcW w:type="dxa" w:w="4986"/>
            <w:vAlign w:val="top"/>
          </w:tcPr>
          <w:p>
            <w:r/>
            <w:r>
              <w:rPr>
                <w:rFonts w:ascii="Calibri" w:hAnsi="Calibri"/>
                <w:b w:val="0"/>
                <w:i w:val="0"/>
                <w:color w:val="000000"/>
                <w:sz w:val="18"/>
              </w:rPr>
              <w:t>Symmetric / asymmetric JWT signing algorithms</w:t>
            </w:r>
          </w:p>
        </w:tc>
      </w:tr>
      <w:tr>
        <w:tc>
          <w:tcPr>
            <w:tcW w:type="dxa" w:w="4986"/>
            <w:vAlign w:val="top"/>
          </w:tcPr>
          <w:p>
            <w:r/>
            <w:r>
              <w:rPr>
                <w:rFonts w:ascii="Calibri" w:hAnsi="Calibri"/>
                <w:b w:val="0"/>
                <w:i w:val="0"/>
                <w:color w:val="000000"/>
                <w:sz w:val="18"/>
              </w:rPr>
              <w:t>IaC</w:t>
            </w:r>
          </w:p>
        </w:tc>
        <w:tc>
          <w:tcPr>
            <w:tcW w:type="dxa" w:w="4986"/>
            <w:vAlign w:val="top"/>
          </w:tcPr>
          <w:p>
            <w:r/>
            <w:r>
              <w:rPr>
                <w:rFonts w:ascii="Calibri" w:hAnsi="Calibri"/>
                <w:b w:val="0"/>
                <w:i w:val="0"/>
                <w:color w:val="000000"/>
                <w:sz w:val="18"/>
              </w:rPr>
              <w:t>Infrastructure as Code</w:t>
            </w:r>
          </w:p>
        </w:tc>
      </w:tr>
      <w:tr>
        <w:tc>
          <w:tcPr>
            <w:tcW w:type="dxa" w:w="4986"/>
            <w:vAlign w:val="top"/>
          </w:tcPr>
          <w:p>
            <w:r/>
            <w:r>
              <w:rPr>
                <w:rFonts w:ascii="Calibri" w:hAnsi="Calibri"/>
                <w:b w:val="0"/>
                <w:i w:val="0"/>
                <w:color w:val="000000"/>
                <w:sz w:val="18"/>
              </w:rPr>
              <w:t>MCP</w:t>
            </w:r>
          </w:p>
        </w:tc>
        <w:tc>
          <w:tcPr>
            <w:tcW w:type="dxa" w:w="4986"/>
            <w:vAlign w:val="top"/>
          </w:tcPr>
          <w:p>
            <w:r/>
            <w:r>
              <w:rPr>
                <w:rFonts w:ascii="Calibri" w:hAnsi="Calibri"/>
                <w:b w:val="0"/>
                <w:i w:val="0"/>
                <w:color w:val="000000"/>
                <w:sz w:val="18"/>
              </w:rPr>
              <w:t>Model Context Protocol — agent tool surface protocol</w:t>
            </w:r>
          </w:p>
        </w:tc>
      </w:tr>
      <w:tr>
        <w:tc>
          <w:tcPr>
            <w:tcW w:type="dxa" w:w="4986"/>
            <w:vAlign w:val="top"/>
          </w:tcPr>
          <w:p>
            <w:r/>
            <w:r>
              <w:rPr>
                <w:rFonts w:ascii="Calibri" w:hAnsi="Calibri"/>
                <w:b w:val="0"/>
                <w:i w:val="0"/>
                <w:color w:val="000000"/>
                <w:sz w:val="18"/>
              </w:rPr>
              <w:t>NCT ID</w:t>
            </w:r>
          </w:p>
        </w:tc>
        <w:tc>
          <w:tcPr>
            <w:tcW w:type="dxa" w:w="4986"/>
            <w:vAlign w:val="top"/>
          </w:tcPr>
          <w:p>
            <w:r/>
            <w:r>
              <w:rPr>
                <w:rFonts w:ascii="Calibri" w:hAnsi="Calibri"/>
                <w:b w:val="0"/>
                <w:i w:val="0"/>
                <w:color w:val="000000"/>
                <w:sz w:val="18"/>
              </w:rPr>
              <w:t>ClinicalTrials.gov trial identifier</w:t>
            </w:r>
          </w:p>
        </w:tc>
      </w:tr>
      <w:tr>
        <w:tc>
          <w:tcPr>
            <w:tcW w:type="dxa" w:w="4986"/>
            <w:vAlign w:val="top"/>
          </w:tcPr>
          <w:p>
            <w:r/>
            <w:r>
              <w:rPr>
                <w:rFonts w:ascii="Calibri" w:hAnsi="Calibri"/>
                <w:b w:val="0"/>
                <w:i w:val="0"/>
                <w:color w:val="000000"/>
                <w:sz w:val="18"/>
              </w:rPr>
              <w:t>PMID</w:t>
            </w:r>
          </w:p>
        </w:tc>
        <w:tc>
          <w:tcPr>
            <w:tcW w:type="dxa" w:w="4986"/>
            <w:vAlign w:val="top"/>
          </w:tcPr>
          <w:p>
            <w:r/>
            <w:r>
              <w:rPr>
                <w:rFonts w:ascii="Calibri" w:hAnsi="Calibri"/>
                <w:b w:val="0"/>
                <w:i w:val="0"/>
                <w:color w:val="000000"/>
                <w:sz w:val="18"/>
              </w:rPr>
              <w:t>PubMed unique identifier</w:t>
            </w:r>
          </w:p>
        </w:tc>
      </w:tr>
      <w:tr>
        <w:tc>
          <w:tcPr>
            <w:tcW w:type="dxa" w:w="4986"/>
            <w:vAlign w:val="top"/>
          </w:tcPr>
          <w:p>
            <w:r/>
            <w:r>
              <w:rPr>
                <w:rFonts w:ascii="Calibri" w:hAnsi="Calibri"/>
                <w:b w:val="0"/>
                <w:i w:val="0"/>
                <w:color w:val="000000"/>
                <w:sz w:val="18"/>
              </w:rPr>
              <w:t>PrivateLink</w:t>
            </w:r>
          </w:p>
        </w:tc>
        <w:tc>
          <w:tcPr>
            <w:tcW w:type="dxa" w:w="4986"/>
            <w:vAlign w:val="top"/>
          </w:tcPr>
          <w:p>
            <w:r/>
            <w:r>
              <w:rPr>
                <w:rFonts w:ascii="Calibri" w:hAnsi="Calibri"/>
                <w:b w:val="0"/>
                <w:i w:val="0"/>
                <w:color w:val="000000"/>
                <w:sz w:val="18"/>
              </w:rPr>
              <w:t>AWS service exposing endpoints inside a VPC</w:t>
            </w:r>
          </w:p>
        </w:tc>
      </w:tr>
      <w:tr>
        <w:tc>
          <w:tcPr>
            <w:tcW w:type="dxa" w:w="4986"/>
            <w:vAlign w:val="top"/>
          </w:tcPr>
          <w:p>
            <w:r/>
            <w:r>
              <w:rPr>
                <w:rFonts w:ascii="Calibri" w:hAnsi="Calibri"/>
                <w:b w:val="0"/>
                <w:i w:val="0"/>
                <w:color w:val="000000"/>
                <w:sz w:val="18"/>
              </w:rPr>
              <w:t>RBAC</w:t>
            </w:r>
          </w:p>
        </w:tc>
        <w:tc>
          <w:tcPr>
            <w:tcW w:type="dxa" w:w="4986"/>
            <w:vAlign w:val="top"/>
          </w:tcPr>
          <w:p>
            <w:r/>
            <w:r>
              <w:rPr>
                <w:rFonts w:ascii="Calibri" w:hAnsi="Calibri"/>
                <w:b w:val="0"/>
                <w:i w:val="0"/>
                <w:color w:val="000000"/>
                <w:sz w:val="18"/>
              </w:rPr>
              <w:t>Role-Based Access Control</w:t>
            </w:r>
          </w:p>
        </w:tc>
      </w:tr>
      <w:tr>
        <w:tc>
          <w:tcPr>
            <w:tcW w:type="dxa" w:w="4986"/>
            <w:vAlign w:val="top"/>
          </w:tcPr>
          <w:p>
            <w:r/>
            <w:r>
              <w:rPr>
                <w:rFonts w:ascii="Calibri" w:hAnsi="Calibri"/>
                <w:b w:val="0"/>
                <w:i w:val="0"/>
                <w:color w:val="000000"/>
                <w:sz w:val="18"/>
              </w:rPr>
              <w:t>ReAct</w:t>
            </w:r>
          </w:p>
        </w:tc>
        <w:tc>
          <w:tcPr>
            <w:tcW w:type="dxa" w:w="4986"/>
            <w:vAlign w:val="top"/>
          </w:tcPr>
          <w:p>
            <w:r/>
            <w:r>
              <w:rPr>
                <w:rFonts w:ascii="Calibri" w:hAnsi="Calibri"/>
                <w:b w:val="0"/>
                <w:i w:val="0"/>
                <w:color w:val="000000"/>
                <w:sz w:val="18"/>
              </w:rPr>
              <w:t>Reason–Act–Observe agent pattern</w:t>
            </w:r>
          </w:p>
        </w:tc>
      </w:tr>
      <w:tr>
        <w:tc>
          <w:tcPr>
            <w:tcW w:type="dxa" w:w="4986"/>
            <w:vAlign w:val="top"/>
          </w:tcPr>
          <w:p>
            <w:r/>
            <w:r>
              <w:rPr>
                <w:rFonts w:ascii="Calibri" w:hAnsi="Calibri"/>
                <w:b w:val="0"/>
                <w:i w:val="0"/>
                <w:color w:val="000000"/>
                <w:sz w:val="18"/>
              </w:rPr>
              <w:t>SSE</w:t>
            </w:r>
          </w:p>
        </w:tc>
        <w:tc>
          <w:tcPr>
            <w:tcW w:type="dxa" w:w="4986"/>
            <w:vAlign w:val="top"/>
          </w:tcPr>
          <w:p>
            <w:r/>
            <w:r>
              <w:rPr>
                <w:rFonts w:ascii="Calibri" w:hAnsi="Calibri"/>
                <w:b w:val="0"/>
                <w:i w:val="0"/>
                <w:color w:val="000000"/>
                <w:sz w:val="18"/>
              </w:rPr>
              <w:t>Server-Sent Events</w:t>
            </w:r>
          </w:p>
        </w:tc>
      </w:tr>
      <w:tr>
        <w:tc>
          <w:tcPr>
            <w:tcW w:type="dxa" w:w="4986"/>
            <w:vAlign w:val="top"/>
          </w:tcPr>
          <w:p>
            <w:r/>
            <w:r>
              <w:rPr>
                <w:rFonts w:ascii="Calibri" w:hAnsi="Calibri"/>
                <w:b w:val="0"/>
                <w:i w:val="0"/>
                <w:color w:val="000000"/>
                <w:sz w:val="18"/>
              </w:rPr>
              <w:t>UPN</w:t>
            </w:r>
          </w:p>
        </w:tc>
        <w:tc>
          <w:tcPr>
            <w:tcW w:type="dxa" w:w="4986"/>
            <w:vAlign w:val="top"/>
          </w:tcPr>
          <w:p>
            <w:r/>
            <w:r>
              <w:rPr>
                <w:rFonts w:ascii="Calibri" w:hAnsi="Calibri"/>
                <w:b w:val="0"/>
                <w:i w:val="0"/>
                <w:color w:val="000000"/>
                <w:sz w:val="18"/>
              </w:rPr>
              <w:t>User Principal Name (Entra ID identifier)</w:t>
            </w:r>
          </w:p>
        </w:tc>
      </w:tr>
      <w:tr>
        <w:tc>
          <w:tcPr>
            <w:tcW w:type="dxa" w:w="4986"/>
            <w:vAlign w:val="top"/>
          </w:tcPr>
          <w:p>
            <w:r/>
            <w:r>
              <w:rPr>
                <w:rFonts w:ascii="Calibri" w:hAnsi="Calibri"/>
                <w:b w:val="0"/>
                <w:i w:val="0"/>
                <w:color w:val="000000"/>
                <w:sz w:val="18"/>
              </w:rPr>
              <w:t>VPC</w:t>
            </w:r>
          </w:p>
        </w:tc>
        <w:tc>
          <w:tcPr>
            <w:tcW w:type="dxa" w:w="4986"/>
            <w:vAlign w:val="top"/>
          </w:tcPr>
          <w:p>
            <w:r/>
            <w:r>
              <w:rPr>
                <w:rFonts w:ascii="Calibri" w:hAnsi="Calibri"/>
                <w:b w:val="0"/>
                <w:i w:val="0"/>
                <w:color w:val="000000"/>
                <w:sz w:val="18"/>
              </w:rPr>
              <w:t>Virtual Private Cloud (AWS)</w:t>
            </w:r>
          </w:p>
        </w:tc>
      </w:tr>
    </w:tbl>
    <w:p/>
    <w:sectPr w:rsidR="00FC693F" w:rsidRPr="0006063C" w:rsidSect="00034616">
      <w:headerReference w:type="default" r:id="rId9"/>
      <w:footerReference w:type="default" r:id="rId10"/>
      <w:pgSz w:w="12240" w:h="15840"/>
      <w:pgMar w:top="1361" w:right="1134" w:bottom="1020"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rFonts w:ascii="Calibri" w:hAnsi="Calibri"/>
        <w:b w:val="0"/>
        <w:i/>
        <w:color w:val="424242"/>
        <w:sz w:val="16"/>
      </w:rPr>
      <w:t>Confidential — CSL Behring Internal Use Only   •   Generated May 2, 2026</w:t>
    </w: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p>
  <w:tbl>
    <w:tblPr>
      <w:tblW w:type="auto" w:w="0"/>
      <w:tblLayout w:type="fixed"/>
      <w:tblLook w:firstColumn="1" w:firstRow="1" w:lastColumn="0" w:lastRow="0" w:noHBand="0" w:noVBand="1" w:val="04A0"/>
    </w:tblPr>
    <w:tblGrid>
      <w:gridCol w:w="2835"/>
      <w:gridCol w:w="6803"/>
    </w:tblGrid>
    <w:tr>
      <w:tc>
        <w:tcPr>
          <w:tcW w:type="dxa" w:w="4819"/>
        </w:tcPr>
        <w:p>
          <w:r>
            <w:drawing>
              <wp:inline xmlns:a="http://schemas.openxmlformats.org/drawingml/2006/main" xmlns:pic="http://schemas.openxmlformats.org/drawingml/2006/picture">
                <wp:extent cx="1224000" cy="383762"/>
                <wp:docPr id="1" name="Picture 1"/>
                <wp:cNvGraphicFramePr>
                  <a:graphicFrameLocks noChangeAspect="1"/>
                </wp:cNvGraphicFramePr>
                <a:graphic>
                  <a:graphicData uri="http://schemas.openxmlformats.org/drawingml/2006/picture">
                    <pic:pic>
                      <pic:nvPicPr>
                        <pic:cNvPr id="0" name="image.png"/>
                        <pic:cNvPicPr/>
                      </pic:nvPicPr>
                      <pic:blipFill>
                        <a:blip r:embed="rId1"/>
                        <a:stretch>
                          <a:fillRect/>
                        </a:stretch>
                      </pic:blipFill>
                      <pic:spPr>
                        <a:xfrm>
                          <a:off x="0" y="0"/>
                          <a:ext cx="1224000" cy="383762"/>
                        </a:xfrm>
                        <a:prstGeom prst="rect"/>
                      </pic:spPr>
                    </pic:pic>
                  </a:graphicData>
                </a:graphic>
              </wp:inline>
            </w:drawing>
          </w:r>
        </w:p>
      </w:tc>
      <w:tc>
        <w:tcPr>
          <w:tcW w:type="dxa" w:w="4819"/>
        </w:tcPr>
        <w:p>
          <w:pPr>
            <w:jc w:val="right"/>
          </w:pPr>
          <w:r>
            <w:rPr>
              <w:rFonts w:ascii="Calibri" w:hAnsi="Calibri"/>
              <w:b/>
              <w:i w:val="0"/>
              <w:color w:val="A6192E"/>
              <w:sz w:val="16"/>
            </w:rPr>
            <w:t>CSL BEHRING  |  EUGENE PLATFORM</w:t>
          </w:r>
          <w:r>
            <w:br/>
          </w:r>
          <w:r>
            <w:rPr>
              <w:rFonts w:ascii="Calibri" w:hAnsi="Calibri"/>
              <w:b w:val="0"/>
              <w:i w:val="0"/>
              <w:color w:val="1B3A6B"/>
              <w:sz w:val="16"/>
            </w:rPr>
            <w:t>Eugene Platform — Consolidated Programme Briefing</w:t>
          </w:r>
        </w:p>
      </w:tc>
    </w:tr>
  </w:tbl>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rPr>
      <w:rFonts w:ascii="Calibri" w:hAnsi="Calibri"/>
      <w:sz w:val="21"/>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header" Target="header1.xml"/><Relationship Id="rId10" Type="http://schemas.openxmlformats.org/officeDocument/2006/relationships/footer" Target="footer1.xml"/><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